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099D" w14:textId="77777777" w:rsidR="00482515" w:rsidRPr="00E83062" w:rsidRDefault="00482515" w:rsidP="00482515">
      <w:pPr>
        <w:spacing w:line="360" w:lineRule="auto"/>
        <w:rPr>
          <w:b/>
          <w:bCs/>
          <w:i/>
          <w:iCs/>
        </w:rPr>
      </w:pPr>
      <w:r w:rsidRPr="00E83062">
        <w:rPr>
          <w:b/>
          <w:bCs/>
          <w:i/>
          <w:iCs/>
        </w:rPr>
        <w:t>LOTERIE NATIONALE TOGOLAISE</w:t>
      </w:r>
    </w:p>
    <w:p w14:paraId="0CBDFFB6" w14:textId="77777777" w:rsidR="00482515" w:rsidRDefault="00482515" w:rsidP="00482515">
      <w:pPr>
        <w:spacing w:line="360" w:lineRule="auto"/>
        <w:rPr>
          <w:b/>
          <w:sz w:val="32"/>
          <w:szCs w:val="32"/>
        </w:rPr>
      </w:pPr>
    </w:p>
    <w:p w14:paraId="1E927C1E" w14:textId="213BC33F" w:rsidR="0042070C" w:rsidRPr="00E83062" w:rsidRDefault="0042070C" w:rsidP="0042070C">
      <w:pPr>
        <w:spacing w:line="360" w:lineRule="auto"/>
        <w:jc w:val="center"/>
        <w:rPr>
          <w:b/>
          <w:sz w:val="32"/>
          <w:szCs w:val="32"/>
        </w:rPr>
      </w:pPr>
      <w:r w:rsidRPr="00E83062">
        <w:rPr>
          <w:b/>
          <w:sz w:val="32"/>
          <w:szCs w:val="32"/>
        </w:rPr>
        <w:t>Avis d’Appel d’Offres Ouvert (AAOO)</w:t>
      </w:r>
    </w:p>
    <w:p w14:paraId="0EF1E7AE" w14:textId="14D532C1" w:rsidR="0042070C" w:rsidRPr="00482515" w:rsidRDefault="00482515" w:rsidP="00482515">
      <w:pPr>
        <w:pStyle w:val="Titre1"/>
        <w:rPr>
          <w:rFonts w:ascii="Amasis MT Pro" w:eastAsia="Times New Roman" w:hAnsi="Amasis MT Pro" w:cs="Arial"/>
          <w:b/>
          <w:color w:val="auto"/>
          <w:sz w:val="24"/>
          <w:szCs w:val="24"/>
          <w:lang w:eastAsia="x-none"/>
        </w:rPr>
      </w:pPr>
      <w:r w:rsidRPr="00482515">
        <w:rPr>
          <w:b/>
          <w:bCs/>
          <w:color w:val="000000" w:themeColor="text1"/>
          <w:sz w:val="28"/>
          <w:szCs w:val="28"/>
        </w:rPr>
        <w:t xml:space="preserve">Référence :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42070C" w:rsidRPr="00482515">
        <w:rPr>
          <w:b/>
          <w:bCs/>
          <w:color w:val="000000" w:themeColor="text1"/>
          <w:sz w:val="28"/>
          <w:szCs w:val="28"/>
        </w:rPr>
        <w:t>AOO 002/2025/LNT</w:t>
      </w:r>
      <w:r w:rsidRPr="00482515">
        <w:rPr>
          <w:b/>
          <w:bCs/>
          <w:color w:val="000000" w:themeColor="text1"/>
          <w:sz w:val="32"/>
          <w:szCs w:val="32"/>
        </w:rPr>
        <w:t xml:space="preserve"> </w:t>
      </w:r>
      <w:r w:rsidRPr="00482515">
        <w:rPr>
          <w:rFonts w:ascii="Amasis MT Pro" w:eastAsia="Times New Roman" w:hAnsi="Amasis MT Pro" w:cs="Arial"/>
          <w:b/>
          <w:color w:val="auto"/>
          <w:sz w:val="24"/>
          <w:szCs w:val="24"/>
          <w:lang w:val="x-none" w:eastAsia="x-none"/>
        </w:rPr>
        <w:t>Pour</w:t>
      </w:r>
      <w:r w:rsidRPr="00482515">
        <w:rPr>
          <w:rFonts w:ascii="Amasis MT Pro" w:eastAsia="Times New Roman" w:hAnsi="Amasis MT Pro" w:cs="Arial"/>
          <w:b/>
          <w:color w:val="auto"/>
          <w:sz w:val="24"/>
          <w:szCs w:val="24"/>
          <w:lang w:eastAsia="x-none"/>
        </w:rPr>
        <w:t xml:space="preserve"> l’Acquisition et Installation d’un Système d’Energie solaire à la Direction Générale et à l’Agence Régionale de Kara. </w:t>
      </w:r>
      <w:r w:rsidRPr="00482515">
        <w:rPr>
          <w:rFonts w:ascii="Amasis MT Pro" w:eastAsia="Times New Roman" w:hAnsi="Amasis MT Pro" w:cs="Arial"/>
          <w:b/>
          <w:color w:val="auto"/>
          <w:sz w:val="24"/>
          <w:szCs w:val="24"/>
          <w:lang w:val="x-none" w:eastAsia="x-none"/>
        </w:rPr>
        <w:t xml:space="preserve"> </w:t>
      </w:r>
    </w:p>
    <w:p w14:paraId="7151C850" w14:textId="77777777" w:rsidR="0042070C" w:rsidRPr="00E83062" w:rsidRDefault="0042070C" w:rsidP="0042070C">
      <w:pPr>
        <w:spacing w:line="360" w:lineRule="auto"/>
        <w:jc w:val="center"/>
        <w:rPr>
          <w:b/>
          <w:bCs/>
          <w:i/>
          <w:iCs/>
          <w:sz w:val="10"/>
          <w:szCs w:val="10"/>
        </w:rPr>
      </w:pPr>
    </w:p>
    <w:p w14:paraId="697E978D" w14:textId="364A161B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 xml:space="preserve">La Loterie Nationale Togolaise a l’intention sur fonds propres, d’acquérir et d’installer un système d’énergie solaire </w:t>
      </w:r>
      <w:r w:rsidR="00482515">
        <w:t>à</w:t>
      </w:r>
      <w:r w:rsidRPr="00E83062">
        <w:t xml:space="preserve"> la Direction Générale à Lomé et à l'Agence Régionale de Kara, pour son fonctionnement au titre du Marché AOO </w:t>
      </w:r>
      <w:r>
        <w:t>002</w:t>
      </w:r>
      <w:r w:rsidRPr="00E83062">
        <w:t>/2025/LNT</w:t>
      </w:r>
      <w:r w:rsidRPr="00E83062">
        <w:rPr>
          <w:i/>
          <w:iCs/>
        </w:rPr>
        <w:t>.</w:t>
      </w:r>
    </w:p>
    <w:p w14:paraId="3888EB0B" w14:textId="5510A183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 xml:space="preserve">La Loterie Nationale </w:t>
      </w:r>
      <w:r w:rsidR="00482515" w:rsidRPr="00E83062">
        <w:t>Togolaise sollicite</w:t>
      </w:r>
      <w:r w:rsidRPr="00E83062">
        <w:t xml:space="preserve"> des offres</w:t>
      </w:r>
      <w:r w:rsidR="00482515">
        <w:t xml:space="preserve"> sous plis</w:t>
      </w:r>
      <w:r w:rsidRPr="00E83062">
        <w:t xml:space="preserve"> fermés de la part de</w:t>
      </w:r>
      <w:r w:rsidR="00482515">
        <w:t>s</w:t>
      </w:r>
      <w:r w:rsidRPr="00E83062">
        <w:t xml:space="preserve"> candidats éligibles et répondant aux qualifications requises pour </w:t>
      </w:r>
      <w:r w:rsidR="00482515">
        <w:t>l’Acquisition</w:t>
      </w:r>
      <w:r w:rsidRPr="00E83062">
        <w:t xml:space="preserve"> et l’installation d’un système d’énergie solaire en un seul lot comme suit : </w:t>
      </w:r>
    </w:p>
    <w:p w14:paraId="77ADD145" w14:textId="65CC0C97" w:rsidR="0042070C" w:rsidRPr="00482515" w:rsidRDefault="0042070C" w:rsidP="0042070C">
      <w:pPr>
        <w:pStyle w:val="Paragraphedeliste"/>
        <w:numPr>
          <w:ilvl w:val="1"/>
          <w:numId w:val="3"/>
        </w:numPr>
        <w:tabs>
          <w:tab w:val="left" w:pos="142"/>
        </w:tabs>
        <w:jc w:val="both"/>
        <w:rPr>
          <w:b/>
          <w:iCs/>
          <w:szCs w:val="24"/>
        </w:rPr>
      </w:pPr>
      <w:r w:rsidRPr="00482515">
        <w:rPr>
          <w:b/>
          <w:iCs/>
          <w:szCs w:val="24"/>
        </w:rPr>
        <w:t xml:space="preserve">Tranche ferme pour la Direction Générale à Lomé </w:t>
      </w:r>
      <w:r w:rsidR="00482515" w:rsidRPr="00482515">
        <w:rPr>
          <w:b/>
          <w:iCs/>
          <w:szCs w:val="24"/>
        </w:rPr>
        <w:t>et,</w:t>
      </w:r>
    </w:p>
    <w:p w14:paraId="4FC06E0A" w14:textId="77777777" w:rsidR="00482515" w:rsidRPr="00E83062" w:rsidRDefault="00482515" w:rsidP="00482515">
      <w:pPr>
        <w:pStyle w:val="Paragraphedeliste"/>
        <w:tabs>
          <w:tab w:val="left" w:pos="142"/>
        </w:tabs>
        <w:ind w:left="1440"/>
        <w:jc w:val="both"/>
        <w:rPr>
          <w:bCs/>
          <w:iCs/>
          <w:szCs w:val="24"/>
        </w:rPr>
      </w:pPr>
    </w:p>
    <w:p w14:paraId="624240D2" w14:textId="77777777" w:rsidR="0042070C" w:rsidRPr="00482515" w:rsidRDefault="0042070C" w:rsidP="0042070C">
      <w:pPr>
        <w:pStyle w:val="Paragraphedeliste"/>
        <w:numPr>
          <w:ilvl w:val="1"/>
          <w:numId w:val="3"/>
        </w:numPr>
        <w:tabs>
          <w:tab w:val="left" w:pos="142"/>
        </w:tabs>
        <w:jc w:val="both"/>
        <w:rPr>
          <w:b/>
          <w:iCs/>
          <w:szCs w:val="24"/>
        </w:rPr>
      </w:pPr>
      <w:r w:rsidRPr="00482515">
        <w:rPr>
          <w:b/>
          <w:iCs/>
          <w:szCs w:val="24"/>
        </w:rPr>
        <w:t xml:space="preserve">Tranche Conditionnelle pour l’Agence Régionale de Kara </w:t>
      </w:r>
    </w:p>
    <w:p w14:paraId="22BDA2C4" w14:textId="77777777" w:rsidR="0042070C" w:rsidRPr="00E83062" w:rsidRDefault="0042070C" w:rsidP="0042070C">
      <w:pPr>
        <w:tabs>
          <w:tab w:val="left" w:pos="142"/>
        </w:tabs>
        <w:jc w:val="both"/>
        <w:rPr>
          <w:bCs/>
          <w:iCs/>
          <w:sz w:val="14"/>
          <w:szCs w:val="14"/>
        </w:rPr>
      </w:pPr>
    </w:p>
    <w:p w14:paraId="6019F0F3" w14:textId="77777777" w:rsidR="0042070C" w:rsidRPr="00E83062" w:rsidRDefault="0042070C" w:rsidP="0042070C">
      <w:pPr>
        <w:spacing w:line="360" w:lineRule="auto"/>
        <w:ind w:left="540"/>
        <w:jc w:val="both"/>
      </w:pPr>
      <w:r w:rsidRPr="00E83062">
        <w:t xml:space="preserve">dans un délai maximum de </w:t>
      </w:r>
      <w:r w:rsidRPr="00482515">
        <w:rPr>
          <w:b/>
          <w:bCs/>
        </w:rPr>
        <w:t>quatre (04) mois</w:t>
      </w:r>
      <w:r w:rsidRPr="00E83062">
        <w:t xml:space="preserve"> à compter de la date de notification. Les variantes ne sont pas autorisées. Ces matériels seront livrés au siège de la Loterie Nationale Togolaise à Lomé et à l’Agence Régionale de Kara.</w:t>
      </w:r>
    </w:p>
    <w:p w14:paraId="5E3D7982" w14:textId="77777777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 xml:space="preserve">La passation du Marché sera conduite par Appel d’offres ouvert tel que défini par le Code des marchés publics en vigueur et ses textes d’application, et ouvert à tous les candidats éligibles. </w:t>
      </w:r>
    </w:p>
    <w:p w14:paraId="776B6B41" w14:textId="19986269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 xml:space="preserve">Les candidats intéressés peuvent obtenir des informations auprès de </w:t>
      </w:r>
      <w:r w:rsidRPr="00E83062">
        <w:rPr>
          <w:i/>
          <w:iCs/>
        </w:rPr>
        <w:t xml:space="preserve">la </w:t>
      </w:r>
      <w:r w:rsidRPr="00E83062">
        <w:rPr>
          <w:iCs/>
        </w:rPr>
        <w:t xml:space="preserve">Loterie Nationale Togolaise, 2470, Avenue de la Chance, BP. 895 Lomé Tél. : 22 53 57 00 Fax 22 51 35 08, Email : </w:t>
      </w:r>
      <w:hyperlink r:id="rId5" w:history="1">
        <w:r w:rsidRPr="00E83062">
          <w:rPr>
            <w:rStyle w:val="Lienhypertexte"/>
            <w:iCs/>
          </w:rPr>
          <w:t>lonato@lonato.tg</w:t>
        </w:r>
      </w:hyperlink>
      <w:r w:rsidRPr="00E83062">
        <w:rPr>
          <w:iCs/>
        </w:rPr>
        <w:t xml:space="preserve"> </w:t>
      </w:r>
      <w:r w:rsidRPr="00E83062">
        <w:t xml:space="preserve">et prendre connaissance des documents d’Appel d’offres à la Cellule de Gestion </w:t>
      </w:r>
      <w:r w:rsidR="00924381" w:rsidRPr="00E83062">
        <w:t>des Marchés</w:t>
      </w:r>
      <w:r w:rsidRPr="00E83062">
        <w:t xml:space="preserve"> publics / Direction Générale de la LONATO, de </w:t>
      </w:r>
      <w:r w:rsidR="00482515">
        <w:t>8</w:t>
      </w:r>
      <w:r w:rsidRPr="00E83062">
        <w:t xml:space="preserve">h </w:t>
      </w:r>
      <w:r w:rsidR="00482515">
        <w:t>0</w:t>
      </w:r>
      <w:r w:rsidRPr="00E83062">
        <w:t>0mn à 17h</w:t>
      </w:r>
      <w:r w:rsidR="00482515">
        <w:t xml:space="preserve"> 30mn</w:t>
      </w:r>
      <w:r w:rsidRPr="00E83062">
        <w:t xml:space="preserve"> tous les jours ouvrables.</w:t>
      </w:r>
    </w:p>
    <w:p w14:paraId="6EFEA68E" w14:textId="77777777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 xml:space="preserve">Les exigences en matière de qualifications sont : </w:t>
      </w:r>
    </w:p>
    <w:p w14:paraId="3A487EDC" w14:textId="77777777" w:rsidR="0042070C" w:rsidRPr="00E83062" w:rsidRDefault="0042070C" w:rsidP="0042070C">
      <w:pPr>
        <w:pStyle w:val="Paragraphedeliste"/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</w:rPr>
      </w:pPr>
      <w:r w:rsidRPr="00E83062">
        <w:rPr>
          <w:iCs/>
        </w:rPr>
        <w:t>Être en règle avec l’administration publique en présentant dans l’offre les pièces administratives indiquées au point 11.1 des données particulières de l’appel d’offres (DPAO),</w:t>
      </w:r>
    </w:p>
    <w:p w14:paraId="0A379FB5" w14:textId="77777777" w:rsidR="0042070C" w:rsidRPr="00E83062" w:rsidRDefault="0042070C" w:rsidP="0042070C">
      <w:pPr>
        <w:pStyle w:val="Paragraphedeliste"/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</w:rPr>
      </w:pPr>
      <w:r w:rsidRPr="00E83062">
        <w:rPr>
          <w:iCs/>
        </w:rPr>
        <w:t>Disposer d’une preuve de facilité de crédit d’un montant au moins égale à 0.5 fois le montant de l’offre,</w:t>
      </w:r>
    </w:p>
    <w:p w14:paraId="12F697CE" w14:textId="77777777" w:rsidR="0042070C" w:rsidRPr="00E83062" w:rsidRDefault="0042070C" w:rsidP="0042070C">
      <w:pPr>
        <w:pStyle w:val="Paragraphedeliste"/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</w:rPr>
      </w:pPr>
      <w:r w:rsidRPr="00E83062">
        <w:rPr>
          <w:iCs/>
        </w:rPr>
        <w:lastRenderedPageBreak/>
        <w:t xml:space="preserve">Avoir réalisé un chiffre d’affaires annuel moyen au cours des trois (03) dernières années </w:t>
      </w:r>
      <w:r>
        <w:rPr>
          <w:iCs/>
        </w:rPr>
        <w:t xml:space="preserve">(2021, 2022 et 2023) </w:t>
      </w:r>
      <w:r w:rsidRPr="00E83062">
        <w:rPr>
          <w:iCs/>
        </w:rPr>
        <w:t>au moins égal à 0,5 fois le montant de l’offre financière du soumissionnaire.</w:t>
      </w:r>
    </w:p>
    <w:p w14:paraId="192A8464" w14:textId="77777777" w:rsidR="0042070C" w:rsidRPr="00E83062" w:rsidRDefault="0042070C" w:rsidP="0042070C">
      <w:pPr>
        <w:pStyle w:val="Paragraphedeliste"/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</w:rPr>
      </w:pPr>
      <w:r w:rsidRPr="00E83062">
        <w:rPr>
          <w:iCs/>
        </w:rPr>
        <w:t>Fournir la preuve écrite que les matériels proposés remplissent les conditions d’utilisations suivantes : adaptés aux conditions tropicales avec une température de 40°C,</w:t>
      </w:r>
    </w:p>
    <w:p w14:paraId="0F25BFE8" w14:textId="77777777" w:rsidR="0042070C" w:rsidRPr="00E83062" w:rsidRDefault="0042070C" w:rsidP="0042070C">
      <w:pPr>
        <w:pStyle w:val="Paragraphedeliste"/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</w:rPr>
      </w:pPr>
      <w:r w:rsidRPr="00E83062">
        <w:rPr>
          <w:iCs/>
        </w:rPr>
        <w:t>Fournir les autorisations du fabricant des matériels proposés,</w:t>
      </w:r>
    </w:p>
    <w:p w14:paraId="363FD703" w14:textId="77777777" w:rsidR="0042070C" w:rsidRPr="00E83062" w:rsidRDefault="0042070C" w:rsidP="0042070C">
      <w:pPr>
        <w:pStyle w:val="Paragraphedeliste"/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</w:rPr>
      </w:pPr>
      <w:r w:rsidRPr="00E83062">
        <w:rPr>
          <w:iCs/>
        </w:rPr>
        <w:t>Disposer d’un service après-vente répondant aux normes spécifiées dans le DPAO.</w:t>
      </w:r>
    </w:p>
    <w:p w14:paraId="4A285C9D" w14:textId="77777777" w:rsidR="0042070C" w:rsidRDefault="0042070C" w:rsidP="0042070C">
      <w:pPr>
        <w:pStyle w:val="Paragraphedeliste"/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</w:rPr>
      </w:pPr>
      <w:r w:rsidRPr="00E83062">
        <w:rPr>
          <w:iCs/>
        </w:rPr>
        <w:t>Avoir exécuté au moins deux marchés similaires au cours des cinq dernières années</w:t>
      </w:r>
      <w:r>
        <w:rPr>
          <w:iCs/>
        </w:rPr>
        <w:t>,</w:t>
      </w:r>
    </w:p>
    <w:p w14:paraId="0975DAAA" w14:textId="46D6E174" w:rsidR="0042070C" w:rsidRDefault="0042070C" w:rsidP="0042070C">
      <w:pPr>
        <w:pStyle w:val="Paragraphedeliste"/>
        <w:numPr>
          <w:ilvl w:val="1"/>
          <w:numId w:val="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</w:rPr>
      </w:pPr>
      <w:r>
        <w:rPr>
          <w:iCs/>
        </w:rPr>
        <w:t xml:space="preserve">Fournir les états financiers des trois dernières années (2021, 2022 et 2023) certifiés par un </w:t>
      </w:r>
      <w:r w:rsidR="00482515">
        <w:rPr>
          <w:iCs/>
        </w:rPr>
        <w:t>expert-comptable</w:t>
      </w:r>
      <w:r>
        <w:rPr>
          <w:iCs/>
        </w:rPr>
        <w:t xml:space="preserve"> ou comptable agréé.</w:t>
      </w:r>
    </w:p>
    <w:p w14:paraId="394FE4A2" w14:textId="7DB8C0CF" w:rsidR="0042070C" w:rsidRDefault="0042070C" w:rsidP="009E31F2">
      <w:pPr>
        <w:spacing w:line="360" w:lineRule="auto"/>
        <w:ind w:left="851" w:hanging="851"/>
        <w:jc w:val="both"/>
        <w:rPr>
          <w:b/>
          <w:bCs/>
          <w:i/>
        </w:rPr>
      </w:pPr>
      <w:r w:rsidRPr="00BF12CB">
        <w:rPr>
          <w:b/>
          <w:bCs/>
          <w:i/>
          <w:u w:val="single"/>
        </w:rPr>
        <w:t>NB</w:t>
      </w:r>
      <w:r w:rsidR="009E31F2">
        <w:rPr>
          <w:b/>
          <w:bCs/>
          <w:i/>
          <w:u w:val="single"/>
        </w:rPr>
        <w:t xml:space="preserve"> 1</w:t>
      </w:r>
      <w:r w:rsidRPr="00BF12CB">
        <w:rPr>
          <w:b/>
          <w:bCs/>
          <w:i/>
          <w:u w:val="single"/>
        </w:rPr>
        <w:t> </w:t>
      </w:r>
      <w:r w:rsidRPr="00BF12CB">
        <w:rPr>
          <w:b/>
          <w:bCs/>
          <w:i/>
        </w:rPr>
        <w:t xml:space="preserve">: </w:t>
      </w:r>
      <w:r w:rsidRPr="00BF12CB">
        <w:rPr>
          <w:b/>
          <w:bCs/>
          <w:i/>
        </w:rPr>
        <w:tab/>
        <w:t>Les sociétés nouvellement créées et qui sont dans l’impossibilité de fournir les états financiers des années 2021, 2022 et 2023 sont autorisées à prouver leurs capacités économiques et financières par tout autre document substitutif distinct de l’attestation de capacité financière</w:t>
      </w:r>
      <w:r w:rsidR="009E31F2">
        <w:rPr>
          <w:b/>
          <w:bCs/>
          <w:i/>
        </w:rPr>
        <w:t>.</w:t>
      </w:r>
    </w:p>
    <w:p w14:paraId="4902E149" w14:textId="07D47759" w:rsidR="0042070C" w:rsidRPr="00BF12CB" w:rsidRDefault="0042070C" w:rsidP="0042070C">
      <w:pPr>
        <w:spacing w:line="360" w:lineRule="auto"/>
        <w:ind w:left="851" w:hanging="851"/>
        <w:jc w:val="both"/>
        <w:rPr>
          <w:b/>
          <w:bCs/>
          <w:i/>
        </w:rPr>
      </w:pPr>
      <w:r w:rsidRPr="00B74B23">
        <w:rPr>
          <w:b/>
          <w:bCs/>
          <w:i/>
          <w:u w:val="single"/>
        </w:rPr>
        <w:t>NB 2 </w:t>
      </w:r>
      <w:r>
        <w:rPr>
          <w:b/>
          <w:bCs/>
          <w:i/>
        </w:rPr>
        <w:t xml:space="preserve">: Les soumissionnaires sont informés que leurs offres financières doivent être élaborées dans le </w:t>
      </w:r>
      <w:r w:rsidR="009E31F2">
        <w:rPr>
          <w:b/>
          <w:bCs/>
          <w:i/>
        </w:rPr>
        <w:t>respect</w:t>
      </w:r>
      <w:r>
        <w:rPr>
          <w:b/>
          <w:bCs/>
          <w:i/>
        </w:rPr>
        <w:t xml:space="preserve"> des prix contenus dans </w:t>
      </w:r>
      <w:r w:rsidR="00924381">
        <w:rPr>
          <w:b/>
          <w:bCs/>
          <w:i/>
        </w:rPr>
        <w:t>la dernière version</w:t>
      </w:r>
      <w:r>
        <w:rPr>
          <w:b/>
          <w:bCs/>
          <w:i/>
        </w:rPr>
        <w:t xml:space="preserve"> du répertoire des prix de référence (mercuriale des prix) disponible sur le site du Ministère de l’économie et des finances au </w:t>
      </w:r>
      <w:hyperlink r:id="rId6" w:history="1">
        <w:r w:rsidRPr="006F1BAB">
          <w:rPr>
            <w:rStyle w:val="Lienhypertexte"/>
            <w:b/>
            <w:bCs/>
            <w:i/>
          </w:rPr>
          <w:t>https://finaces.gouv.tg</w:t>
        </w:r>
      </w:hyperlink>
      <w:r>
        <w:rPr>
          <w:b/>
          <w:bCs/>
          <w:i/>
        </w:rPr>
        <w:t>. Dans le cas contraire, leurs offres financières seront redressées.</w:t>
      </w:r>
    </w:p>
    <w:p w14:paraId="0E897D79" w14:textId="77777777" w:rsidR="0042070C" w:rsidRPr="00E83062" w:rsidRDefault="0042070C" w:rsidP="0042070C">
      <w:pPr>
        <w:pStyle w:val="Paragraphedeliste"/>
        <w:spacing w:line="360" w:lineRule="auto"/>
        <w:ind w:left="900"/>
        <w:jc w:val="both"/>
        <w:rPr>
          <w:iCs/>
          <w:sz w:val="10"/>
          <w:szCs w:val="10"/>
        </w:rPr>
      </w:pPr>
    </w:p>
    <w:p w14:paraId="4B9F372A" w14:textId="5C94D457" w:rsidR="0042070C" w:rsidRPr="00E83062" w:rsidRDefault="0042070C" w:rsidP="0042070C">
      <w:pPr>
        <w:spacing w:line="360" w:lineRule="auto"/>
        <w:jc w:val="both"/>
      </w:pPr>
      <w:r w:rsidRPr="00E83062">
        <w:t>Voir le DPAO pour les informations détaillées</w:t>
      </w:r>
      <w:r w:rsidR="009E31F2">
        <w:t>.</w:t>
      </w:r>
    </w:p>
    <w:p w14:paraId="3614268B" w14:textId="77777777" w:rsidR="0042070C" w:rsidRPr="00E83062" w:rsidRDefault="0042070C" w:rsidP="0042070C">
      <w:pPr>
        <w:spacing w:line="360" w:lineRule="auto"/>
        <w:jc w:val="both"/>
        <w:rPr>
          <w:sz w:val="10"/>
          <w:szCs w:val="10"/>
        </w:rPr>
      </w:pPr>
    </w:p>
    <w:p w14:paraId="3E1765A2" w14:textId="77777777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 xml:space="preserve">Les candidats intéressés peuvent consulter gratuitement le dossier d’Appel d’offres complet ou le retirer à titre onéreux contre paiement d’une somme non remboursable de cent mille (100.000) francs CFA </w:t>
      </w:r>
      <w:r w:rsidRPr="00E83062">
        <w:rPr>
          <w:i/>
          <w:iCs/>
        </w:rPr>
        <w:t xml:space="preserve"> </w:t>
      </w:r>
      <w:r w:rsidRPr="00E83062">
        <w:t>à l’adresse mentionnée ci-après :</w:t>
      </w:r>
    </w:p>
    <w:p w14:paraId="22A2C81A" w14:textId="77777777" w:rsidR="0042070C" w:rsidRPr="00E83062" w:rsidRDefault="0042070C" w:rsidP="0042070C">
      <w:pPr>
        <w:spacing w:line="360" w:lineRule="auto"/>
        <w:ind w:left="540"/>
        <w:jc w:val="both"/>
        <w:rPr>
          <w:iCs/>
        </w:rPr>
      </w:pPr>
      <w:r w:rsidRPr="00E83062">
        <w:rPr>
          <w:iCs/>
        </w:rPr>
        <w:t xml:space="preserve">Loterie Nationale Togolaise </w:t>
      </w:r>
    </w:p>
    <w:p w14:paraId="59E35586" w14:textId="77777777" w:rsidR="0042070C" w:rsidRPr="00E83062" w:rsidRDefault="0042070C" w:rsidP="0042070C">
      <w:pPr>
        <w:spacing w:line="360" w:lineRule="auto"/>
        <w:ind w:left="540"/>
        <w:jc w:val="both"/>
        <w:rPr>
          <w:iCs/>
        </w:rPr>
      </w:pPr>
      <w:r w:rsidRPr="00E83062">
        <w:rPr>
          <w:iCs/>
        </w:rPr>
        <w:t>2470, Avenue de la Chance Lomé</w:t>
      </w:r>
    </w:p>
    <w:p w14:paraId="0154EBD9" w14:textId="77777777" w:rsidR="0042070C" w:rsidRPr="00E83062" w:rsidRDefault="0042070C" w:rsidP="0042070C">
      <w:pPr>
        <w:spacing w:line="360" w:lineRule="auto"/>
        <w:ind w:left="540"/>
        <w:jc w:val="both"/>
        <w:rPr>
          <w:i/>
          <w:iCs/>
        </w:rPr>
      </w:pPr>
      <w:r w:rsidRPr="00E83062">
        <w:rPr>
          <w:iCs/>
        </w:rPr>
        <w:t>Cellule de Gestion des Marchés Publics.</w:t>
      </w:r>
      <w:r w:rsidRPr="00E83062">
        <w:rPr>
          <w:i/>
          <w:iCs/>
        </w:rPr>
        <w:t xml:space="preserve"> </w:t>
      </w:r>
    </w:p>
    <w:p w14:paraId="31E8821B" w14:textId="77777777" w:rsidR="0042070C" w:rsidRPr="00E83062" w:rsidRDefault="0042070C" w:rsidP="0042070C">
      <w:pPr>
        <w:spacing w:line="360" w:lineRule="auto"/>
        <w:ind w:left="540"/>
        <w:jc w:val="both"/>
        <w:rPr>
          <w:sz w:val="10"/>
          <w:szCs w:val="10"/>
        </w:rPr>
      </w:pPr>
    </w:p>
    <w:p w14:paraId="3FD407F9" w14:textId="77777777" w:rsidR="0042070C" w:rsidRPr="00E83062" w:rsidRDefault="0042070C" w:rsidP="0042070C">
      <w:pPr>
        <w:spacing w:line="360" w:lineRule="auto"/>
        <w:ind w:left="540"/>
        <w:jc w:val="both"/>
      </w:pPr>
      <w:r w:rsidRPr="00E83062">
        <w:t xml:space="preserve">Le paiement sera </w:t>
      </w:r>
      <w:r w:rsidRPr="00E83062">
        <w:rPr>
          <w:iCs/>
        </w:rPr>
        <w:t>en espèces à la caisse principale de la Loterie Nationale togolaise à la même adresse</w:t>
      </w:r>
      <w:r w:rsidRPr="00E83062">
        <w:rPr>
          <w:i/>
          <w:iCs/>
        </w:rPr>
        <w:t xml:space="preserve">. </w:t>
      </w:r>
      <w:r w:rsidRPr="00E83062">
        <w:t>Le dossier sera transmis main à main.</w:t>
      </w:r>
    </w:p>
    <w:p w14:paraId="4442A958" w14:textId="502F0B43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>Les offres devront être soumises à l’adresse ci-après</w:t>
      </w:r>
      <w:r w:rsidR="009E31F2">
        <w:t> : bureau de la Cellule de Gestion des Marchés Publics</w:t>
      </w:r>
      <w:r w:rsidRPr="00E83062">
        <w:t xml:space="preserve"> de la Loterie Nationale Togolaise au 2470, Avenue de la Chance BP. 895 Lomé Tél. : 22 53 57 00 Fax : 22 51 35 08</w:t>
      </w:r>
      <w:r w:rsidRPr="00E83062">
        <w:rPr>
          <w:i/>
          <w:iCs/>
        </w:rPr>
        <w:t xml:space="preserve"> </w:t>
      </w:r>
      <w:r w:rsidRPr="00E83062">
        <w:t xml:space="preserve">au plus tard le </w:t>
      </w:r>
      <w:r w:rsidR="009E31F2">
        <w:rPr>
          <w:b/>
          <w:iCs/>
        </w:rPr>
        <w:t xml:space="preserve">mercredi 07 mai 2025 </w:t>
      </w:r>
      <w:r w:rsidRPr="00E83062">
        <w:rPr>
          <w:iCs/>
        </w:rPr>
        <w:t>à 10H 00</w:t>
      </w:r>
      <w:r w:rsidRPr="00E83062">
        <w:rPr>
          <w:i/>
          <w:iCs/>
        </w:rPr>
        <w:t>.</w:t>
      </w:r>
      <w:r w:rsidRPr="00E83062">
        <w:t xml:space="preserve"> Les offres remises en retard ne seront pas acceptées. </w:t>
      </w:r>
    </w:p>
    <w:p w14:paraId="4C677ADF" w14:textId="77777777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 xml:space="preserve">Les offres doivent comprendre </w:t>
      </w:r>
      <w:r w:rsidRPr="00E83062">
        <w:rPr>
          <w:iCs/>
        </w:rPr>
        <w:t>une garantie de soumission bancaire délivré</w:t>
      </w:r>
      <w:r>
        <w:rPr>
          <w:iCs/>
        </w:rPr>
        <w:t>e</w:t>
      </w:r>
      <w:r w:rsidRPr="00E83062">
        <w:rPr>
          <w:iCs/>
        </w:rPr>
        <w:t xml:space="preserve"> par une banque de la place ou ayant une correspondance au Togo, d’un montant de 5.000.000 FCFA</w:t>
      </w:r>
      <w:r w:rsidRPr="00E83062">
        <w:t xml:space="preserve">, </w:t>
      </w:r>
      <w:r w:rsidRPr="00E83062">
        <w:rPr>
          <w:iCs/>
        </w:rPr>
        <w:t xml:space="preserve">et valable jusqu’à 28 jours après la période de validité de l’offre. </w:t>
      </w:r>
    </w:p>
    <w:p w14:paraId="38E1980D" w14:textId="2320E104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0"/>
        </w:rPr>
      </w:pPr>
      <w:r w:rsidRPr="00E83062">
        <w:t xml:space="preserve">Les candidats resteront engagés par leur offre pendant une période de </w:t>
      </w:r>
      <w:r w:rsidR="00730604" w:rsidRPr="00E83062">
        <w:t>quatre-vingt-dix</w:t>
      </w:r>
      <w:r w:rsidRPr="00E83062">
        <w:t xml:space="preserve"> (90) jours </w:t>
      </w:r>
      <w:r w:rsidR="00730604" w:rsidRPr="00E83062">
        <w:rPr>
          <w:i/>
          <w:iCs/>
        </w:rPr>
        <w:t xml:space="preserve">à </w:t>
      </w:r>
      <w:r w:rsidR="00730604" w:rsidRPr="00E83062">
        <w:t>compter</w:t>
      </w:r>
      <w:r w:rsidRPr="00E83062">
        <w:t xml:space="preserve"> de la date limite du dépôt des offres.</w:t>
      </w:r>
    </w:p>
    <w:p w14:paraId="4192F8CC" w14:textId="2806626C" w:rsidR="0042070C" w:rsidRPr="00E83062" w:rsidRDefault="0042070C" w:rsidP="0042070C">
      <w:pPr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 w:rsidRPr="00E83062">
        <w:t xml:space="preserve">Les offres seront ouvertes en présence des représentants des soumissionnaires qui souhaitent assister à l’ouverture des plis </w:t>
      </w:r>
      <w:r w:rsidRPr="00730604">
        <w:rPr>
          <w:b/>
          <w:bCs/>
        </w:rPr>
        <w:t>le</w:t>
      </w:r>
      <w:r w:rsidR="00730604" w:rsidRPr="00730604">
        <w:rPr>
          <w:b/>
          <w:bCs/>
        </w:rPr>
        <w:t xml:space="preserve"> mercredi 07 mai 2025 </w:t>
      </w:r>
      <w:r w:rsidRPr="00730604">
        <w:rPr>
          <w:b/>
          <w:bCs/>
          <w:iCs/>
        </w:rPr>
        <w:t>à 10H 30 mn</w:t>
      </w:r>
      <w:r w:rsidRPr="00E83062">
        <w:rPr>
          <w:i/>
          <w:iCs/>
        </w:rPr>
        <w:t xml:space="preserve"> </w:t>
      </w:r>
      <w:r w:rsidRPr="00E83062">
        <w:t xml:space="preserve">à l’adresse suivante : </w:t>
      </w:r>
    </w:p>
    <w:p w14:paraId="3E5F8E4A" w14:textId="77777777" w:rsidR="0042070C" w:rsidRPr="00E83062" w:rsidRDefault="0042070C" w:rsidP="0042070C">
      <w:pPr>
        <w:spacing w:line="360" w:lineRule="auto"/>
        <w:ind w:left="540"/>
        <w:jc w:val="both"/>
      </w:pPr>
      <w:r w:rsidRPr="00E83062">
        <w:t xml:space="preserve">Salle de tirage au Siège de la Loterie Nationale Togolaise </w:t>
      </w:r>
    </w:p>
    <w:p w14:paraId="6F108A42" w14:textId="74355768" w:rsidR="00F81290" w:rsidRPr="00E83062" w:rsidRDefault="0042070C" w:rsidP="00924381">
      <w:pPr>
        <w:spacing w:line="360" w:lineRule="auto"/>
        <w:ind w:left="540"/>
        <w:jc w:val="both"/>
      </w:pPr>
      <w:r w:rsidRPr="00E83062">
        <w:t>2470, Avenue de la</w:t>
      </w:r>
      <w:r w:rsidR="00730604">
        <w:t xml:space="preserve"> chance au </w:t>
      </w:r>
      <w:proofErr w:type="spellStart"/>
      <w:r w:rsidR="00730604">
        <w:t>rez</w:t>
      </w:r>
      <w:proofErr w:type="spellEnd"/>
      <w:r w:rsidR="00730604">
        <w:t xml:space="preserve"> de chaussée</w:t>
      </w:r>
      <w:r w:rsidRPr="00E83062">
        <w:t>.</w:t>
      </w:r>
    </w:p>
    <w:p w14:paraId="442BAE11" w14:textId="13CC8740" w:rsidR="00730604" w:rsidRPr="00924381" w:rsidRDefault="00F81290" w:rsidP="00730604">
      <w:pPr>
        <w:spacing w:line="360" w:lineRule="auto"/>
        <w:rPr>
          <w:rFonts w:ascii="Amasis MT Pro" w:hAnsi="Amasis MT Pro"/>
          <w:b/>
          <w:bCs/>
          <w:sz w:val="22"/>
          <w:szCs w:val="22"/>
        </w:rPr>
      </w:pPr>
      <w:r w:rsidRPr="00924381">
        <w:rPr>
          <w:rFonts w:ascii="Amasis MT Pro" w:hAnsi="Amasis MT Pro"/>
          <w:b/>
          <w:bCs/>
          <w:sz w:val="22"/>
          <w:szCs w:val="22"/>
        </w:rPr>
        <w:t>NB : Une visite du site est prévue le mardi 22 avril 2025</w:t>
      </w:r>
      <w:r w:rsidR="00924381" w:rsidRPr="00924381">
        <w:rPr>
          <w:rFonts w:ascii="Amasis MT Pro" w:hAnsi="Amasis MT Pro"/>
          <w:b/>
          <w:bCs/>
          <w:sz w:val="22"/>
          <w:szCs w:val="22"/>
        </w:rPr>
        <w:t xml:space="preserve"> à 10 heures</w:t>
      </w:r>
      <w:r w:rsidRPr="00924381">
        <w:rPr>
          <w:rFonts w:ascii="Amasis MT Pro" w:hAnsi="Amasis MT Pro"/>
          <w:b/>
          <w:bCs/>
          <w:sz w:val="22"/>
          <w:szCs w:val="22"/>
        </w:rPr>
        <w:t xml:space="preserve"> à la Direction Générale de la LONATO à </w:t>
      </w:r>
      <w:proofErr w:type="spellStart"/>
      <w:r w:rsidRPr="00924381">
        <w:rPr>
          <w:rFonts w:ascii="Amasis MT Pro" w:hAnsi="Amasis MT Pro"/>
          <w:b/>
          <w:bCs/>
          <w:sz w:val="22"/>
          <w:szCs w:val="22"/>
        </w:rPr>
        <w:t>lomé</w:t>
      </w:r>
      <w:proofErr w:type="spellEnd"/>
      <w:r w:rsidR="00924381" w:rsidRPr="00924381">
        <w:rPr>
          <w:rFonts w:ascii="Amasis MT Pro" w:hAnsi="Amasis MT Pro"/>
          <w:b/>
          <w:bCs/>
          <w:sz w:val="22"/>
          <w:szCs w:val="22"/>
        </w:rPr>
        <w:t xml:space="preserve">. </w:t>
      </w:r>
    </w:p>
    <w:p w14:paraId="08148A23" w14:textId="77777777" w:rsidR="00924381" w:rsidRDefault="00924381" w:rsidP="00730604">
      <w:pPr>
        <w:spacing w:line="360" w:lineRule="auto"/>
        <w:rPr>
          <w:sz w:val="16"/>
          <w:szCs w:val="16"/>
        </w:rPr>
      </w:pPr>
    </w:p>
    <w:p w14:paraId="198CE368" w14:textId="30944BC6" w:rsidR="0042070C" w:rsidRPr="00E83062" w:rsidRDefault="0042070C" w:rsidP="00730604">
      <w:pPr>
        <w:spacing w:line="360" w:lineRule="auto"/>
        <w:ind w:left="3540" w:firstLine="708"/>
        <w:rPr>
          <w:szCs w:val="24"/>
        </w:rPr>
      </w:pPr>
      <w:r w:rsidRPr="00E83062">
        <w:rPr>
          <w:szCs w:val="24"/>
        </w:rPr>
        <w:t>La Personne Responsable des Marchés Publics,</w:t>
      </w:r>
    </w:p>
    <w:p w14:paraId="4CFCC5F3" w14:textId="77777777" w:rsidR="0042070C" w:rsidRDefault="0042070C" w:rsidP="0042070C">
      <w:pPr>
        <w:spacing w:line="360" w:lineRule="auto"/>
        <w:ind w:left="4956"/>
        <w:rPr>
          <w:szCs w:val="24"/>
        </w:rPr>
      </w:pPr>
    </w:p>
    <w:p w14:paraId="12C6923D" w14:textId="77777777" w:rsidR="00482515" w:rsidRDefault="00482515" w:rsidP="0042070C">
      <w:pPr>
        <w:spacing w:line="360" w:lineRule="auto"/>
        <w:ind w:left="4956"/>
        <w:rPr>
          <w:szCs w:val="24"/>
        </w:rPr>
      </w:pPr>
    </w:p>
    <w:p w14:paraId="528D9FFA" w14:textId="77777777" w:rsidR="00730604" w:rsidRPr="00E83062" w:rsidRDefault="00730604" w:rsidP="0042070C">
      <w:pPr>
        <w:spacing w:line="360" w:lineRule="auto"/>
        <w:ind w:left="4956"/>
        <w:rPr>
          <w:szCs w:val="24"/>
        </w:rPr>
      </w:pPr>
    </w:p>
    <w:p w14:paraId="7DA386A8" w14:textId="1842EBD3" w:rsidR="003177D5" w:rsidRDefault="0042070C" w:rsidP="00482515">
      <w:pPr>
        <w:ind w:left="4956" w:firstLine="708"/>
      </w:pPr>
      <w:r w:rsidRPr="00E83062">
        <w:rPr>
          <w:b/>
          <w:szCs w:val="24"/>
          <w:u w:val="single"/>
        </w:rPr>
        <w:t>D. K. AMEDOME</w:t>
      </w:r>
    </w:p>
    <w:sectPr w:rsidR="0031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1DAB"/>
    <w:multiLevelType w:val="hybridMultilevel"/>
    <w:tmpl w:val="B65A3112"/>
    <w:lvl w:ilvl="0" w:tplc="073CDA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D40435"/>
    <w:multiLevelType w:val="hybridMultilevel"/>
    <w:tmpl w:val="503C9AEC"/>
    <w:lvl w:ilvl="0" w:tplc="472E3A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1FA5"/>
    <w:multiLevelType w:val="hybridMultilevel"/>
    <w:tmpl w:val="7F369C6C"/>
    <w:lvl w:ilvl="0" w:tplc="073CDA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28D82C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6313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36458">
    <w:abstractNumId w:val="0"/>
  </w:num>
  <w:num w:numId="3" w16cid:durableId="32528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0C"/>
    <w:rsid w:val="003177D5"/>
    <w:rsid w:val="0042070C"/>
    <w:rsid w:val="00482515"/>
    <w:rsid w:val="00730604"/>
    <w:rsid w:val="00924381"/>
    <w:rsid w:val="0094325A"/>
    <w:rsid w:val="00946529"/>
    <w:rsid w:val="009E31F2"/>
    <w:rsid w:val="00AE3BCA"/>
    <w:rsid w:val="00F8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7C2F"/>
  <w15:chartTrackingRefBased/>
  <w15:docId w15:val="{DB427664-07BA-4462-BDE9-718C597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0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0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0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0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0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0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0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0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0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07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07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07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07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07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07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0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0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070C"/>
    <w:rPr>
      <w:i/>
      <w:iCs/>
      <w:color w:val="404040" w:themeColor="text1" w:themeTint="BF"/>
    </w:rPr>
  </w:style>
  <w:style w:type="paragraph" w:styleId="Paragraphedeliste">
    <w:name w:val="List Paragraph"/>
    <w:aliases w:val="Bullets"/>
    <w:basedOn w:val="Normal"/>
    <w:link w:val="ParagraphedelisteCar"/>
    <w:uiPriority w:val="1"/>
    <w:qFormat/>
    <w:rsid w:val="004207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07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07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070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42070C"/>
    <w:rPr>
      <w:rFonts w:cs="Times New Roman"/>
      <w:color w:val="0000FF"/>
      <w:u w:val="single"/>
    </w:rPr>
  </w:style>
  <w:style w:type="character" w:customStyle="1" w:styleId="ParagraphedelisteCar">
    <w:name w:val="Paragraphe de liste Car"/>
    <w:aliases w:val="Bullets Car"/>
    <w:link w:val="Paragraphedeliste"/>
    <w:uiPriority w:val="1"/>
    <w:rsid w:val="0042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ces.gouv.tg" TargetMode="External"/><Relationship Id="rId5" Type="http://schemas.openxmlformats.org/officeDocument/2006/relationships/hyperlink" Target="mailto:lonato@lonato.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Référence :  AOO 002/2025/LNT Pour l’Acquisition et Installation d’un Système d’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D.  AMEDOME</dc:creator>
  <cp:keywords/>
  <dc:description/>
  <cp:lastModifiedBy>Zalia POUNPOUNI</cp:lastModifiedBy>
  <cp:revision>3</cp:revision>
  <cp:lastPrinted>2025-04-04T15:53:00Z</cp:lastPrinted>
  <dcterms:created xsi:type="dcterms:W3CDTF">2025-04-04T15:20:00Z</dcterms:created>
  <dcterms:modified xsi:type="dcterms:W3CDTF">2025-04-04T15:58:00Z</dcterms:modified>
</cp:coreProperties>
</file>