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BC5" w:rsidRPr="00C1190A" w:rsidRDefault="00744A56" w:rsidP="003B3BC5">
      <w:pPr>
        <w:ind w:left="2124" w:firstLine="708"/>
        <w:rPr>
          <w:b/>
          <w:noProof/>
          <w:sz w:val="28"/>
          <w:szCs w:val="24"/>
          <w:u w:val="single"/>
        </w:rPr>
      </w:pPr>
      <w:r w:rsidRPr="00C1190A">
        <w:rPr>
          <w:b/>
          <w:noProof/>
          <w:sz w:val="28"/>
          <w:szCs w:val="24"/>
          <w:u w:val="single"/>
        </w:rPr>
        <w:t xml:space="preserve">Avis </w:t>
      </w:r>
      <w:r w:rsidR="00293210" w:rsidRPr="00C1190A">
        <w:rPr>
          <w:b/>
          <w:noProof/>
          <w:sz w:val="28"/>
          <w:szCs w:val="24"/>
          <w:u w:val="single"/>
        </w:rPr>
        <w:t>d’appel d’offre ouvert</w:t>
      </w:r>
    </w:p>
    <w:p w:rsidR="00781AC8" w:rsidRPr="00781AC8" w:rsidRDefault="00781AC8" w:rsidP="00781AC8">
      <w:pPr>
        <w:rPr>
          <w:sz w:val="22"/>
          <w:szCs w:val="22"/>
        </w:rPr>
      </w:pPr>
      <w:r w:rsidRPr="00781AC8">
        <w:rPr>
          <w:b/>
          <w:sz w:val="22"/>
          <w:szCs w:val="22"/>
        </w:rPr>
        <w:t>Objet : Demande de renseignement de prix pour la fourniture de compteurs étalon.</w:t>
      </w:r>
    </w:p>
    <w:p w:rsidR="00781AC8" w:rsidRPr="00781AC8" w:rsidRDefault="00781AC8" w:rsidP="00781AC8">
      <w:pPr>
        <w:rPr>
          <w:sz w:val="22"/>
          <w:szCs w:val="22"/>
          <w:lang w:val="en-GB"/>
        </w:rPr>
      </w:pPr>
      <w:r w:rsidRPr="00781AC8">
        <w:rPr>
          <w:b/>
          <w:sz w:val="22"/>
          <w:szCs w:val="22"/>
          <w:lang w:val="en-GB"/>
        </w:rPr>
        <w:t>Réf. : DRP/121/2023/DRP/STSL/SC/RI</w:t>
      </w:r>
    </w:p>
    <w:p w:rsidR="00781AC8" w:rsidRPr="00781AC8" w:rsidRDefault="00781AC8" w:rsidP="00781AC8">
      <w:pPr>
        <w:numPr>
          <w:ilvl w:val="0"/>
          <w:numId w:val="10"/>
        </w:numPr>
        <w:tabs>
          <w:tab w:val="clear" w:pos="720"/>
          <w:tab w:val="num" w:pos="426"/>
        </w:tabs>
        <w:ind w:left="0" w:firstLine="0"/>
        <w:rPr>
          <w:bCs/>
          <w:iCs/>
          <w:sz w:val="22"/>
          <w:szCs w:val="22"/>
        </w:rPr>
      </w:pPr>
      <w:r w:rsidRPr="00781AC8">
        <w:rPr>
          <w:b/>
          <w:bCs/>
          <w:iCs/>
          <w:sz w:val="22"/>
          <w:szCs w:val="22"/>
        </w:rPr>
        <w:t xml:space="preserve">La Société Togolaise de Stockage de Lomé (STSL) </w:t>
      </w:r>
      <w:r w:rsidRPr="00781AC8">
        <w:rPr>
          <w:bCs/>
          <w:iCs/>
          <w:sz w:val="22"/>
          <w:szCs w:val="22"/>
        </w:rPr>
        <w:t>sollicite des offres sous pli fermé de la part de candidats répondant aux qualifications requises pour fournir des compteurs étalons</w:t>
      </w:r>
      <w:r w:rsidRPr="00781AC8">
        <w:rPr>
          <w:bCs/>
          <w:i/>
          <w:iCs/>
          <w:sz w:val="22"/>
          <w:szCs w:val="22"/>
        </w:rPr>
        <w:t>.</w:t>
      </w:r>
      <w:r w:rsidRPr="00781AC8">
        <w:rPr>
          <w:bCs/>
          <w:iCs/>
          <w:sz w:val="22"/>
          <w:szCs w:val="22"/>
        </w:rPr>
        <w:t xml:space="preserve"> Ces compteurs sont à livrer au dépôt de STSL dans un délai de</w:t>
      </w:r>
      <w:r w:rsidRPr="00781AC8">
        <w:rPr>
          <w:bCs/>
          <w:i/>
          <w:iCs/>
          <w:sz w:val="22"/>
          <w:szCs w:val="22"/>
        </w:rPr>
        <w:t xml:space="preserve"> </w:t>
      </w:r>
      <w:r w:rsidRPr="00781AC8">
        <w:rPr>
          <w:b/>
          <w:bCs/>
          <w:iCs/>
          <w:sz w:val="22"/>
          <w:szCs w:val="22"/>
        </w:rPr>
        <w:t>cent vingt</w:t>
      </w:r>
      <w:r w:rsidRPr="00781AC8">
        <w:rPr>
          <w:bCs/>
          <w:iCs/>
          <w:sz w:val="22"/>
          <w:szCs w:val="22"/>
        </w:rPr>
        <w:t xml:space="preserve"> </w:t>
      </w:r>
      <w:r w:rsidRPr="00781AC8">
        <w:rPr>
          <w:b/>
          <w:bCs/>
          <w:iCs/>
          <w:sz w:val="22"/>
          <w:szCs w:val="22"/>
        </w:rPr>
        <w:t>(120) jours</w:t>
      </w:r>
      <w:r w:rsidRPr="00781AC8">
        <w:rPr>
          <w:bCs/>
          <w:iCs/>
          <w:sz w:val="22"/>
          <w:szCs w:val="22"/>
        </w:rPr>
        <w:t xml:space="preserve"> à compter de la date de notification de marché</w:t>
      </w:r>
      <w:r w:rsidRPr="00781AC8">
        <w:rPr>
          <w:bCs/>
          <w:i/>
          <w:iCs/>
          <w:sz w:val="22"/>
          <w:szCs w:val="22"/>
        </w:rPr>
        <w:t>.</w:t>
      </w:r>
      <w:r w:rsidRPr="00781AC8">
        <w:rPr>
          <w:bCs/>
          <w:iCs/>
          <w:sz w:val="22"/>
          <w:szCs w:val="22"/>
        </w:rPr>
        <w:t xml:space="preserve"> </w:t>
      </w:r>
    </w:p>
    <w:p w:rsidR="00781AC8" w:rsidRPr="00781AC8" w:rsidRDefault="00781AC8" w:rsidP="00781AC8">
      <w:pPr>
        <w:numPr>
          <w:ilvl w:val="0"/>
          <w:numId w:val="10"/>
        </w:numPr>
        <w:ind w:left="0" w:firstLine="0"/>
        <w:contextualSpacing/>
        <w:rPr>
          <w:sz w:val="22"/>
          <w:szCs w:val="22"/>
        </w:rPr>
      </w:pPr>
      <w:r w:rsidRPr="00781AC8">
        <w:rPr>
          <w:sz w:val="22"/>
          <w:szCs w:val="22"/>
        </w:rPr>
        <w:t>Les candidats intéressés peuvent consulter le dossier d’appel d’offres à l’adresse mentionnée ci-après :</w:t>
      </w:r>
      <w:r w:rsidRPr="00781AC8">
        <w:rPr>
          <w:sz w:val="22"/>
          <w:szCs w:val="22"/>
        </w:rPr>
        <w:t xml:space="preserve"> </w:t>
      </w:r>
      <w:r w:rsidRPr="00781AC8">
        <w:rPr>
          <w:b/>
          <w:sz w:val="22"/>
          <w:szCs w:val="22"/>
        </w:rPr>
        <w:t xml:space="preserve">Direction STSL, Route d’Aného, B.P. 3283 Tél : 00228 22 23 72 00/01, Lomé – Togo, Heure : </w:t>
      </w:r>
      <w:r w:rsidRPr="00781AC8">
        <w:rPr>
          <w:b/>
          <w:iCs/>
          <w:sz w:val="22"/>
          <w:szCs w:val="22"/>
        </w:rPr>
        <w:t>08h00 à 16h00 de lundi à vendredi</w:t>
      </w:r>
      <w:r w:rsidRPr="00781AC8">
        <w:rPr>
          <w:i/>
          <w:iCs/>
          <w:sz w:val="22"/>
          <w:szCs w:val="22"/>
        </w:rPr>
        <w:t xml:space="preserve">. </w:t>
      </w:r>
      <w:r w:rsidRPr="00781AC8">
        <w:rPr>
          <w:b/>
          <w:iCs/>
          <w:sz w:val="22"/>
          <w:szCs w:val="22"/>
        </w:rPr>
        <w:t>Bureau PRMP</w:t>
      </w:r>
      <w:r w:rsidRPr="00781AC8">
        <w:rPr>
          <w:i/>
          <w:iCs/>
          <w:sz w:val="22"/>
          <w:szCs w:val="22"/>
        </w:rPr>
        <w:t xml:space="preserve">. </w:t>
      </w:r>
      <w:r w:rsidRPr="00781AC8">
        <w:rPr>
          <w:sz w:val="22"/>
          <w:szCs w:val="22"/>
        </w:rPr>
        <w:t xml:space="preserve">Ils peuvent également l’obtenir à l’adresse mentionnée ci avant contre paiement d’une somme de </w:t>
      </w:r>
      <w:r w:rsidRPr="00781AC8">
        <w:rPr>
          <w:b/>
          <w:sz w:val="22"/>
          <w:szCs w:val="22"/>
        </w:rPr>
        <w:t>vingt-cinq mille (25 000) FCFA</w:t>
      </w:r>
      <w:r w:rsidRPr="00781AC8">
        <w:rPr>
          <w:sz w:val="22"/>
          <w:szCs w:val="22"/>
        </w:rPr>
        <w:t xml:space="preserve"> par </w:t>
      </w:r>
      <w:r w:rsidRPr="00781AC8">
        <w:rPr>
          <w:b/>
          <w:sz w:val="22"/>
          <w:szCs w:val="22"/>
        </w:rPr>
        <w:t>virement bancaire ou versement en espèce</w:t>
      </w:r>
      <w:r w:rsidRPr="00781AC8">
        <w:rPr>
          <w:sz w:val="22"/>
          <w:szCs w:val="22"/>
        </w:rPr>
        <w:t xml:space="preserve"> sur </w:t>
      </w:r>
      <w:r w:rsidRPr="00781AC8">
        <w:rPr>
          <w:b/>
          <w:sz w:val="22"/>
          <w:szCs w:val="22"/>
        </w:rPr>
        <w:t>le compte bancaire ECOBANK</w:t>
      </w:r>
      <w:r w:rsidRPr="00781AC8">
        <w:rPr>
          <w:sz w:val="22"/>
          <w:szCs w:val="22"/>
        </w:rPr>
        <w:t xml:space="preserve"> suivant :</w:t>
      </w:r>
    </w:p>
    <w:p w:rsidR="00781AC8" w:rsidRPr="00781AC8" w:rsidRDefault="00781AC8" w:rsidP="00781AC8">
      <w:pPr>
        <w:rPr>
          <w:b/>
          <w:sz w:val="22"/>
          <w:szCs w:val="22"/>
        </w:rPr>
      </w:pPr>
      <w:r w:rsidRPr="00781AC8">
        <w:rPr>
          <w:b/>
          <w:sz w:val="22"/>
          <w:szCs w:val="22"/>
        </w:rPr>
        <w:t>Intitulé du compte :</w:t>
      </w:r>
      <w:r w:rsidRPr="00781AC8">
        <w:rPr>
          <w:b/>
          <w:bCs/>
          <w:iCs/>
          <w:sz w:val="22"/>
          <w:szCs w:val="22"/>
        </w:rPr>
        <w:t xml:space="preserve"> STE TOGOLAISE DE STOCKAGE DE LOME SA</w:t>
      </w:r>
    </w:p>
    <w:p w:rsidR="00781AC8" w:rsidRPr="00781AC8" w:rsidRDefault="00781AC8" w:rsidP="00781AC8">
      <w:pPr>
        <w:rPr>
          <w:b/>
          <w:sz w:val="22"/>
          <w:szCs w:val="22"/>
        </w:rPr>
      </w:pPr>
      <w:r w:rsidRPr="00781AC8">
        <w:rPr>
          <w:b/>
          <w:sz w:val="22"/>
          <w:szCs w:val="22"/>
        </w:rPr>
        <w:t>Code bancaire : T0055</w:t>
      </w:r>
    </w:p>
    <w:p w:rsidR="00781AC8" w:rsidRPr="00781AC8" w:rsidRDefault="00781AC8" w:rsidP="00781AC8">
      <w:pPr>
        <w:rPr>
          <w:b/>
          <w:sz w:val="22"/>
          <w:szCs w:val="22"/>
        </w:rPr>
      </w:pPr>
      <w:r w:rsidRPr="00781AC8">
        <w:rPr>
          <w:b/>
          <w:sz w:val="22"/>
          <w:szCs w:val="22"/>
        </w:rPr>
        <w:t>Code guichet : 01701</w:t>
      </w:r>
    </w:p>
    <w:p w:rsidR="00781AC8" w:rsidRPr="00781AC8" w:rsidRDefault="00781AC8" w:rsidP="00781AC8">
      <w:pPr>
        <w:rPr>
          <w:b/>
          <w:sz w:val="22"/>
          <w:szCs w:val="22"/>
        </w:rPr>
      </w:pPr>
      <w:r w:rsidRPr="00781AC8">
        <w:rPr>
          <w:b/>
          <w:sz w:val="22"/>
          <w:szCs w:val="22"/>
        </w:rPr>
        <w:t>Code Swift : ECOCTGTG</w:t>
      </w:r>
    </w:p>
    <w:p w:rsidR="00781AC8" w:rsidRPr="00781AC8" w:rsidRDefault="00781AC8" w:rsidP="00781AC8">
      <w:pPr>
        <w:rPr>
          <w:b/>
          <w:sz w:val="22"/>
          <w:szCs w:val="22"/>
        </w:rPr>
      </w:pPr>
      <w:r w:rsidRPr="00781AC8">
        <w:rPr>
          <w:b/>
          <w:sz w:val="22"/>
          <w:szCs w:val="22"/>
        </w:rPr>
        <w:t>Numéro de compte : 140073393001</w:t>
      </w:r>
    </w:p>
    <w:p w:rsidR="00781AC8" w:rsidRPr="00781AC8" w:rsidRDefault="00781AC8" w:rsidP="00781AC8">
      <w:pPr>
        <w:rPr>
          <w:b/>
          <w:sz w:val="22"/>
          <w:szCs w:val="22"/>
        </w:rPr>
      </w:pPr>
      <w:r w:rsidRPr="00781AC8">
        <w:rPr>
          <w:b/>
          <w:sz w:val="22"/>
          <w:szCs w:val="22"/>
        </w:rPr>
        <w:t>Clé RIB : 55</w:t>
      </w:r>
    </w:p>
    <w:p w:rsidR="00781AC8" w:rsidRPr="00781AC8" w:rsidRDefault="00781AC8" w:rsidP="00781AC8">
      <w:pPr>
        <w:rPr>
          <w:b/>
          <w:sz w:val="22"/>
          <w:szCs w:val="22"/>
        </w:rPr>
      </w:pPr>
      <w:r w:rsidRPr="00781AC8">
        <w:rPr>
          <w:b/>
          <w:sz w:val="22"/>
          <w:szCs w:val="22"/>
        </w:rPr>
        <w:t>IBAN : T00550170114007339300155</w:t>
      </w:r>
    </w:p>
    <w:p w:rsidR="00781AC8" w:rsidRPr="00781AC8" w:rsidRDefault="00781AC8" w:rsidP="00781AC8">
      <w:pPr>
        <w:contextualSpacing/>
        <w:rPr>
          <w:b/>
          <w:sz w:val="22"/>
          <w:szCs w:val="22"/>
        </w:rPr>
      </w:pPr>
      <w:r w:rsidRPr="00781AC8">
        <w:rPr>
          <w:b/>
          <w:sz w:val="22"/>
          <w:szCs w:val="22"/>
        </w:rPr>
        <w:t>Il est primordial de produire le justificatif du payement avant le retrait</w:t>
      </w:r>
    </w:p>
    <w:p w:rsidR="00781AC8" w:rsidRPr="00781AC8" w:rsidRDefault="00781AC8" w:rsidP="00781AC8">
      <w:pPr>
        <w:numPr>
          <w:ilvl w:val="0"/>
          <w:numId w:val="10"/>
        </w:numPr>
        <w:tabs>
          <w:tab w:val="clear" w:pos="720"/>
          <w:tab w:val="num" w:pos="426"/>
        </w:tabs>
        <w:ind w:left="0" w:firstLine="0"/>
        <w:rPr>
          <w:sz w:val="22"/>
          <w:szCs w:val="22"/>
        </w:rPr>
      </w:pPr>
      <w:r w:rsidRPr="00781AC8">
        <w:rPr>
          <w:sz w:val="22"/>
          <w:szCs w:val="22"/>
        </w:rPr>
        <w:t>Les exigences en matière de conformité et de qualifications sont :</w:t>
      </w:r>
    </w:p>
    <w:p w:rsidR="00781AC8" w:rsidRPr="00781AC8" w:rsidRDefault="00781AC8" w:rsidP="00781AC8">
      <w:pPr>
        <w:rPr>
          <w:sz w:val="22"/>
          <w:szCs w:val="22"/>
        </w:rPr>
      </w:pPr>
      <w:r w:rsidRPr="00781AC8">
        <w:rPr>
          <w:sz w:val="22"/>
          <w:szCs w:val="22"/>
        </w:rPr>
        <w:t>•</w:t>
      </w:r>
      <w:r w:rsidRPr="00781AC8">
        <w:rPr>
          <w:sz w:val="22"/>
          <w:szCs w:val="22"/>
        </w:rPr>
        <w:tab/>
      </w:r>
      <w:r w:rsidRPr="00781AC8">
        <w:rPr>
          <w:b/>
          <w:sz w:val="22"/>
          <w:szCs w:val="22"/>
        </w:rPr>
        <w:t>les conditions légales</w:t>
      </w:r>
      <w:r w:rsidRPr="00781AC8">
        <w:rPr>
          <w:sz w:val="22"/>
          <w:szCs w:val="22"/>
        </w:rPr>
        <w:t xml:space="preserve"> </w:t>
      </w:r>
    </w:p>
    <w:p w:rsidR="00781AC8" w:rsidRPr="00781AC8" w:rsidRDefault="00781AC8" w:rsidP="00781AC8">
      <w:pPr>
        <w:rPr>
          <w:b/>
          <w:sz w:val="22"/>
          <w:szCs w:val="22"/>
        </w:rPr>
      </w:pPr>
      <w:r w:rsidRPr="00781AC8">
        <w:rPr>
          <w:sz w:val="22"/>
          <w:szCs w:val="22"/>
        </w:rPr>
        <w:t>•</w:t>
      </w:r>
      <w:r w:rsidRPr="00781AC8">
        <w:rPr>
          <w:sz w:val="22"/>
          <w:szCs w:val="22"/>
        </w:rPr>
        <w:tab/>
      </w:r>
      <w:r w:rsidRPr="00781AC8">
        <w:rPr>
          <w:b/>
          <w:sz w:val="22"/>
          <w:szCs w:val="22"/>
        </w:rPr>
        <w:t>la capacité financière</w:t>
      </w:r>
    </w:p>
    <w:p w:rsidR="00781AC8" w:rsidRPr="00781AC8" w:rsidRDefault="00781AC8" w:rsidP="00781AC8">
      <w:pPr>
        <w:rPr>
          <w:sz w:val="22"/>
          <w:szCs w:val="22"/>
          <w:highlight w:val="yellow"/>
        </w:rPr>
      </w:pPr>
      <w:r w:rsidRPr="00781AC8">
        <w:rPr>
          <w:sz w:val="22"/>
          <w:szCs w:val="22"/>
        </w:rPr>
        <w:t>•</w:t>
      </w:r>
      <w:r w:rsidRPr="00781AC8">
        <w:rPr>
          <w:sz w:val="22"/>
          <w:szCs w:val="22"/>
        </w:rPr>
        <w:tab/>
      </w:r>
      <w:r w:rsidRPr="00781AC8">
        <w:rPr>
          <w:b/>
          <w:sz w:val="22"/>
          <w:szCs w:val="22"/>
        </w:rPr>
        <w:t>la capacité technique et expérience</w:t>
      </w:r>
      <w:r w:rsidRPr="00781AC8">
        <w:rPr>
          <w:sz w:val="22"/>
          <w:szCs w:val="22"/>
        </w:rPr>
        <w:t>. Voir le DPDRP pour les informations détaillées.</w:t>
      </w:r>
    </w:p>
    <w:p w:rsidR="00781AC8" w:rsidRPr="00781AC8" w:rsidRDefault="00781AC8" w:rsidP="00781AC8">
      <w:pPr>
        <w:rPr>
          <w:sz w:val="22"/>
          <w:szCs w:val="22"/>
        </w:rPr>
      </w:pPr>
      <w:r w:rsidRPr="00781AC8">
        <w:rPr>
          <w:sz w:val="22"/>
          <w:szCs w:val="22"/>
        </w:rPr>
        <w:t>Voir les formulaires de soumission pour les informations détaillées.</w:t>
      </w:r>
    </w:p>
    <w:p w:rsidR="00781AC8" w:rsidRPr="00781AC8" w:rsidRDefault="00781AC8" w:rsidP="00781AC8">
      <w:pPr>
        <w:numPr>
          <w:ilvl w:val="0"/>
          <w:numId w:val="10"/>
        </w:numPr>
        <w:tabs>
          <w:tab w:val="clear" w:pos="720"/>
          <w:tab w:val="num" w:pos="426"/>
        </w:tabs>
        <w:ind w:left="0" w:firstLine="0"/>
        <w:rPr>
          <w:sz w:val="22"/>
          <w:szCs w:val="22"/>
        </w:rPr>
      </w:pPr>
      <w:r w:rsidRPr="00781AC8">
        <w:rPr>
          <w:sz w:val="22"/>
          <w:szCs w:val="22"/>
        </w:rPr>
        <w:t>Les offres devront être déposées à l’adresse ci-après :</w:t>
      </w:r>
      <w:r w:rsidRPr="00781AC8">
        <w:rPr>
          <w:sz w:val="22"/>
          <w:szCs w:val="22"/>
        </w:rPr>
        <w:t xml:space="preserve"> </w:t>
      </w:r>
      <w:r w:rsidRPr="00781AC8">
        <w:rPr>
          <w:b/>
          <w:sz w:val="22"/>
          <w:szCs w:val="22"/>
        </w:rPr>
        <w:t>Direction STSL</w:t>
      </w:r>
      <w:r w:rsidRPr="00781AC8">
        <w:rPr>
          <w:b/>
          <w:sz w:val="22"/>
          <w:szCs w:val="22"/>
        </w:rPr>
        <w:t xml:space="preserve">, </w:t>
      </w:r>
      <w:r w:rsidRPr="00781AC8">
        <w:rPr>
          <w:b/>
          <w:sz w:val="22"/>
          <w:szCs w:val="22"/>
        </w:rPr>
        <w:t>Route d’Aného (Zone industrielle)</w:t>
      </w:r>
      <w:r w:rsidRPr="00781AC8">
        <w:rPr>
          <w:b/>
          <w:sz w:val="22"/>
          <w:szCs w:val="22"/>
        </w:rPr>
        <w:t xml:space="preserve">, </w:t>
      </w:r>
      <w:r w:rsidRPr="00781AC8">
        <w:rPr>
          <w:b/>
          <w:sz w:val="22"/>
          <w:szCs w:val="22"/>
        </w:rPr>
        <w:t xml:space="preserve">B.P. 3283 Tél : 22 23 72 00/01 </w:t>
      </w:r>
      <w:r w:rsidRPr="00781AC8">
        <w:rPr>
          <w:b/>
          <w:sz w:val="22"/>
          <w:szCs w:val="22"/>
        </w:rPr>
        <w:t xml:space="preserve">Lomé – Togo. </w:t>
      </w:r>
      <w:r w:rsidRPr="00781AC8">
        <w:rPr>
          <w:sz w:val="22"/>
          <w:szCs w:val="22"/>
        </w:rPr>
        <w:t xml:space="preserve">Au plus tard le </w:t>
      </w:r>
      <w:r w:rsidRPr="00781AC8">
        <w:rPr>
          <w:b/>
          <w:sz w:val="22"/>
          <w:szCs w:val="22"/>
        </w:rPr>
        <w:t>05</w:t>
      </w:r>
      <w:r w:rsidRPr="00781AC8">
        <w:rPr>
          <w:b/>
          <w:sz w:val="22"/>
          <w:szCs w:val="22"/>
        </w:rPr>
        <w:t xml:space="preserve"> Janvier 2024</w:t>
      </w:r>
      <w:r w:rsidRPr="00781AC8">
        <w:rPr>
          <w:iCs/>
          <w:sz w:val="22"/>
          <w:szCs w:val="22"/>
        </w:rPr>
        <w:t xml:space="preserve"> à</w:t>
      </w:r>
      <w:r w:rsidRPr="00781AC8">
        <w:rPr>
          <w:b/>
          <w:iCs/>
          <w:sz w:val="22"/>
          <w:szCs w:val="22"/>
        </w:rPr>
        <w:t xml:space="preserve"> 11</w:t>
      </w:r>
      <w:r w:rsidRPr="00781AC8">
        <w:rPr>
          <w:b/>
          <w:iCs/>
          <w:sz w:val="22"/>
          <w:szCs w:val="22"/>
        </w:rPr>
        <w:t>h00</w:t>
      </w:r>
      <w:r w:rsidRPr="00781AC8">
        <w:rPr>
          <w:sz w:val="22"/>
          <w:szCs w:val="22"/>
        </w:rPr>
        <w:t xml:space="preserve"> au niveau du </w:t>
      </w:r>
      <w:r w:rsidRPr="00781AC8">
        <w:rPr>
          <w:b/>
          <w:sz w:val="22"/>
          <w:szCs w:val="22"/>
        </w:rPr>
        <w:t>bureau PRMP</w:t>
      </w:r>
      <w:r w:rsidRPr="00781AC8">
        <w:rPr>
          <w:sz w:val="22"/>
          <w:szCs w:val="22"/>
        </w:rPr>
        <w:t>.</w:t>
      </w:r>
      <w:r w:rsidRPr="00781AC8">
        <w:rPr>
          <w:sz w:val="22"/>
          <w:szCs w:val="22"/>
        </w:rPr>
        <w:t xml:space="preserve"> </w:t>
      </w:r>
      <w:r w:rsidRPr="00781AC8">
        <w:rPr>
          <w:bCs/>
          <w:iCs/>
          <w:sz w:val="22"/>
          <w:szCs w:val="22"/>
        </w:rPr>
        <w:t xml:space="preserve">Se munir d’une pièce d’identité et prévoir 10 minutes pour les formalités d’accès au lieu du dépôt. </w:t>
      </w:r>
      <w:r w:rsidRPr="00781AC8">
        <w:rPr>
          <w:b/>
          <w:color w:val="FF0000"/>
          <w:sz w:val="22"/>
          <w:szCs w:val="22"/>
        </w:rPr>
        <w:t>Les offres remises en</w:t>
      </w:r>
      <w:r w:rsidRPr="00781AC8">
        <w:rPr>
          <w:b/>
          <w:color w:val="FF0000"/>
          <w:sz w:val="22"/>
          <w:szCs w:val="22"/>
        </w:rPr>
        <w:t xml:space="preserve"> retard ne seront pas acceptées.</w:t>
      </w:r>
    </w:p>
    <w:p w:rsidR="00781AC8" w:rsidRPr="00781AC8" w:rsidRDefault="00781AC8" w:rsidP="00781AC8">
      <w:pPr>
        <w:numPr>
          <w:ilvl w:val="0"/>
          <w:numId w:val="10"/>
        </w:numPr>
        <w:tabs>
          <w:tab w:val="clear" w:pos="720"/>
          <w:tab w:val="num" w:pos="426"/>
        </w:tabs>
        <w:ind w:left="0" w:firstLine="0"/>
        <w:rPr>
          <w:sz w:val="22"/>
          <w:szCs w:val="22"/>
        </w:rPr>
      </w:pPr>
      <w:r w:rsidRPr="00781AC8">
        <w:rPr>
          <w:sz w:val="22"/>
          <w:szCs w:val="22"/>
        </w:rPr>
        <w:t xml:space="preserve">Les offres doivent comprendre </w:t>
      </w:r>
      <w:r w:rsidRPr="00781AC8">
        <w:rPr>
          <w:iCs/>
          <w:sz w:val="22"/>
          <w:szCs w:val="22"/>
        </w:rPr>
        <w:t>une garantie de soumission</w:t>
      </w:r>
      <w:r w:rsidRPr="00781AC8">
        <w:rPr>
          <w:sz w:val="22"/>
          <w:szCs w:val="22"/>
        </w:rPr>
        <w:t>, d’un montant d’un</w:t>
      </w:r>
      <w:r w:rsidRPr="00781AC8">
        <w:rPr>
          <w:i/>
          <w:iCs/>
          <w:sz w:val="22"/>
          <w:szCs w:val="22"/>
        </w:rPr>
        <w:t xml:space="preserve"> [Insérer le montant en FCFA] </w:t>
      </w:r>
      <w:r w:rsidRPr="00781AC8">
        <w:rPr>
          <w:b/>
          <w:i/>
          <w:iCs/>
          <w:sz w:val="22"/>
          <w:szCs w:val="22"/>
        </w:rPr>
        <w:t>NON APPLICABLE</w:t>
      </w:r>
      <w:r w:rsidRPr="00781AC8">
        <w:rPr>
          <w:i/>
          <w:iCs/>
          <w:sz w:val="22"/>
          <w:szCs w:val="22"/>
        </w:rPr>
        <w:t xml:space="preserve">. </w:t>
      </w:r>
      <w:r w:rsidRPr="00781AC8">
        <w:rPr>
          <w:iCs/>
          <w:sz w:val="22"/>
          <w:szCs w:val="22"/>
        </w:rPr>
        <w:t>Cependant une déclaration de garantie (modèle page 28 au point 7.3), qui vient remplacer en lieu et place la garantie de soumission, doit être rempli et ajouter aux offres.</w:t>
      </w:r>
    </w:p>
    <w:p w:rsidR="00781AC8" w:rsidRPr="00781AC8" w:rsidRDefault="00781AC8" w:rsidP="00781AC8">
      <w:pPr>
        <w:numPr>
          <w:ilvl w:val="0"/>
          <w:numId w:val="10"/>
        </w:numPr>
        <w:tabs>
          <w:tab w:val="clear" w:pos="720"/>
          <w:tab w:val="num" w:pos="426"/>
        </w:tabs>
        <w:ind w:left="0" w:firstLine="0"/>
        <w:rPr>
          <w:sz w:val="22"/>
          <w:szCs w:val="22"/>
        </w:rPr>
      </w:pPr>
      <w:r w:rsidRPr="00781AC8">
        <w:rPr>
          <w:sz w:val="22"/>
          <w:szCs w:val="22"/>
        </w:rPr>
        <w:t>Les offres doivent être valides pendant une période de</w:t>
      </w:r>
      <w:r w:rsidRPr="00781AC8">
        <w:rPr>
          <w:rFonts w:ascii="Arial Narrow" w:hAnsi="Arial Narrow"/>
          <w:i/>
          <w:sz w:val="22"/>
          <w:szCs w:val="22"/>
        </w:rPr>
        <w:t xml:space="preserve"> </w:t>
      </w:r>
      <w:r w:rsidRPr="00781AC8">
        <w:rPr>
          <w:b/>
          <w:sz w:val="22"/>
          <w:szCs w:val="22"/>
        </w:rPr>
        <w:t>quatre-vingt-dix (90) jours</w:t>
      </w:r>
      <w:r w:rsidRPr="00781AC8">
        <w:rPr>
          <w:sz w:val="22"/>
          <w:szCs w:val="22"/>
        </w:rPr>
        <w:t xml:space="preserve"> suivant la date limite de dépôt des offres.</w:t>
      </w:r>
    </w:p>
    <w:p w:rsidR="00781AC8" w:rsidRPr="00781AC8" w:rsidRDefault="00781AC8" w:rsidP="00781AC8">
      <w:pPr>
        <w:numPr>
          <w:ilvl w:val="0"/>
          <w:numId w:val="10"/>
        </w:numPr>
        <w:tabs>
          <w:tab w:val="clear" w:pos="720"/>
          <w:tab w:val="num" w:pos="426"/>
        </w:tabs>
        <w:ind w:left="0" w:firstLine="0"/>
        <w:rPr>
          <w:sz w:val="22"/>
          <w:szCs w:val="22"/>
        </w:rPr>
      </w:pPr>
      <w:r w:rsidRPr="00781AC8">
        <w:rPr>
          <w:sz w:val="22"/>
          <w:szCs w:val="22"/>
        </w:rPr>
        <w:t>Les soumissionnaires sont informés que leurs offres financières doivent être élaborées dans le respect des prix contenus dans la dernière version du répertoire des prix de référence (mercuriale des prix) disponi</w:t>
      </w:r>
      <w:r w:rsidRPr="00781AC8">
        <w:rPr>
          <w:color w:val="000000"/>
          <w:sz w:val="22"/>
          <w:szCs w:val="22"/>
        </w:rPr>
        <w:t xml:space="preserve">ble sur le site du Ministère de l’économie et des finances au </w:t>
      </w:r>
      <w:hyperlink r:id="rId8" w:history="1">
        <w:r w:rsidRPr="00781AC8">
          <w:rPr>
            <w:color w:val="000000"/>
            <w:sz w:val="22"/>
            <w:szCs w:val="22"/>
            <w:u w:val="single"/>
          </w:rPr>
          <w:t>www.finances.gouv.tg</w:t>
        </w:r>
      </w:hyperlink>
      <w:r w:rsidRPr="00781AC8">
        <w:rPr>
          <w:sz w:val="22"/>
          <w:szCs w:val="22"/>
        </w:rPr>
        <w:t>. Dans le cas contraire, leurs offres seront redressées.</w:t>
      </w:r>
    </w:p>
    <w:p w:rsidR="00781AC8" w:rsidRPr="00781AC8" w:rsidRDefault="00781AC8" w:rsidP="00781AC8">
      <w:pPr>
        <w:numPr>
          <w:ilvl w:val="0"/>
          <w:numId w:val="10"/>
        </w:numPr>
        <w:tabs>
          <w:tab w:val="clear" w:pos="720"/>
          <w:tab w:val="num" w:pos="426"/>
        </w:tabs>
        <w:ind w:left="0" w:firstLine="0"/>
        <w:rPr>
          <w:sz w:val="22"/>
          <w:szCs w:val="22"/>
        </w:rPr>
      </w:pPr>
      <w:r w:rsidRPr="00781AC8">
        <w:rPr>
          <w:sz w:val="22"/>
          <w:szCs w:val="22"/>
        </w:rPr>
        <w:t>Les offres seront ouvertes en présence des représentants des candidats présents à l’adresse ci-après :</w:t>
      </w:r>
      <w:r>
        <w:rPr>
          <w:sz w:val="22"/>
          <w:szCs w:val="22"/>
        </w:rPr>
        <w:t xml:space="preserve"> </w:t>
      </w:r>
      <w:r w:rsidRPr="00781AC8">
        <w:rPr>
          <w:b/>
          <w:sz w:val="22"/>
          <w:szCs w:val="22"/>
        </w:rPr>
        <w:t>Direction STSL</w:t>
      </w:r>
      <w:r>
        <w:rPr>
          <w:b/>
          <w:sz w:val="22"/>
          <w:szCs w:val="22"/>
        </w:rPr>
        <w:t xml:space="preserve">, </w:t>
      </w:r>
      <w:r w:rsidRPr="00781AC8">
        <w:rPr>
          <w:b/>
          <w:sz w:val="22"/>
          <w:szCs w:val="22"/>
        </w:rPr>
        <w:t>Route d’Aného (Zone industrielle)</w:t>
      </w:r>
      <w:r>
        <w:rPr>
          <w:b/>
          <w:sz w:val="22"/>
          <w:szCs w:val="22"/>
        </w:rPr>
        <w:t xml:space="preserve">, </w:t>
      </w:r>
      <w:r w:rsidRPr="00781AC8">
        <w:rPr>
          <w:b/>
          <w:sz w:val="22"/>
          <w:szCs w:val="22"/>
        </w:rPr>
        <w:t xml:space="preserve">B.P. 3283 Tél : 22 23 72 00/01 </w:t>
      </w:r>
      <w:r>
        <w:rPr>
          <w:b/>
          <w:sz w:val="22"/>
          <w:szCs w:val="22"/>
        </w:rPr>
        <w:t xml:space="preserve">Lomé – Togo. </w:t>
      </w:r>
      <w:r w:rsidRPr="00781AC8">
        <w:rPr>
          <w:sz w:val="22"/>
          <w:szCs w:val="22"/>
        </w:rPr>
        <w:t xml:space="preserve">Le </w:t>
      </w:r>
      <w:r w:rsidRPr="00781AC8">
        <w:rPr>
          <w:b/>
          <w:iCs/>
          <w:sz w:val="22"/>
          <w:szCs w:val="22"/>
        </w:rPr>
        <w:t>05</w:t>
      </w:r>
      <w:r w:rsidRPr="00781AC8">
        <w:rPr>
          <w:b/>
          <w:sz w:val="22"/>
          <w:szCs w:val="22"/>
        </w:rPr>
        <w:t xml:space="preserve"> </w:t>
      </w:r>
      <w:r w:rsidRPr="00781AC8">
        <w:rPr>
          <w:b/>
          <w:iCs/>
          <w:sz w:val="22"/>
          <w:szCs w:val="22"/>
        </w:rPr>
        <w:t>janvier 2024</w:t>
      </w:r>
      <w:r w:rsidRPr="00781AC8">
        <w:rPr>
          <w:b/>
          <w:iCs/>
          <w:sz w:val="22"/>
          <w:szCs w:val="22"/>
        </w:rPr>
        <w:t xml:space="preserve"> à 11</w:t>
      </w:r>
      <w:r w:rsidRPr="00781AC8">
        <w:rPr>
          <w:b/>
          <w:iCs/>
          <w:sz w:val="22"/>
          <w:szCs w:val="22"/>
        </w:rPr>
        <w:t>h30</w:t>
      </w:r>
      <w:r w:rsidRPr="00781AC8">
        <w:rPr>
          <w:sz w:val="22"/>
          <w:szCs w:val="22"/>
        </w:rPr>
        <w:t xml:space="preserve"> </w:t>
      </w:r>
      <w:r w:rsidRPr="00781AC8">
        <w:rPr>
          <w:iCs/>
          <w:sz w:val="22"/>
          <w:szCs w:val="22"/>
        </w:rPr>
        <w:t xml:space="preserve">dans </w:t>
      </w:r>
      <w:r w:rsidRPr="00781AC8">
        <w:rPr>
          <w:sz w:val="22"/>
          <w:szCs w:val="22"/>
        </w:rPr>
        <w:t>la Grande salle de Réunion</w:t>
      </w:r>
      <w:r w:rsidRPr="00781AC8">
        <w:rPr>
          <w:i/>
          <w:iCs/>
          <w:sz w:val="22"/>
          <w:szCs w:val="22"/>
        </w:rPr>
        <w:t>.</w:t>
      </w:r>
    </w:p>
    <w:p w:rsidR="00781AC8" w:rsidRPr="00781AC8" w:rsidRDefault="00781AC8" w:rsidP="00781AC8">
      <w:pPr>
        <w:tabs>
          <w:tab w:val="num" w:pos="426"/>
        </w:tabs>
        <w:spacing w:after="200"/>
        <w:rPr>
          <w:sz w:val="22"/>
          <w:szCs w:val="22"/>
        </w:rPr>
      </w:pPr>
    </w:p>
    <w:p w:rsidR="00781AC8" w:rsidRDefault="00781AC8" w:rsidP="00781AC8">
      <w:pPr>
        <w:rPr>
          <w:b/>
          <w:sz w:val="22"/>
          <w:szCs w:val="22"/>
        </w:rPr>
      </w:pPr>
    </w:p>
    <w:p w:rsidR="00781AC8" w:rsidRPr="00781AC8" w:rsidRDefault="00781AC8" w:rsidP="00781AC8">
      <w:pPr>
        <w:rPr>
          <w:b/>
          <w:sz w:val="22"/>
          <w:szCs w:val="22"/>
        </w:rPr>
      </w:pPr>
      <w:bookmarkStart w:id="0" w:name="_GoBack"/>
      <w:bookmarkEnd w:id="0"/>
      <w:r w:rsidRPr="00781AC8">
        <w:rPr>
          <w:b/>
          <w:sz w:val="22"/>
          <w:szCs w:val="22"/>
        </w:rPr>
        <w:t>Andrée Mawuli AKOUMANY</w:t>
      </w:r>
    </w:p>
    <w:p w:rsidR="00781AC8" w:rsidRPr="00781AC8" w:rsidRDefault="00781AC8" w:rsidP="00781AC8">
      <w:pPr>
        <w:rPr>
          <w:b/>
          <w:sz w:val="22"/>
          <w:szCs w:val="22"/>
        </w:rPr>
      </w:pPr>
      <w:r w:rsidRPr="00781AC8">
        <w:rPr>
          <w:b/>
          <w:sz w:val="22"/>
          <w:szCs w:val="22"/>
        </w:rPr>
        <w:t>Directrice Générale Pi</w:t>
      </w:r>
    </w:p>
    <w:p w:rsidR="00781AC8" w:rsidRPr="00781AC8" w:rsidRDefault="00781AC8" w:rsidP="00781AC8">
      <w:pPr>
        <w:rPr>
          <w:b/>
          <w:szCs w:val="24"/>
        </w:rPr>
      </w:pPr>
    </w:p>
    <w:p w:rsidR="00CC599E" w:rsidRPr="00781AC8" w:rsidRDefault="00CC599E" w:rsidP="00C1190A">
      <w:pPr>
        <w:rPr>
          <w:b/>
          <w:szCs w:val="24"/>
        </w:rPr>
      </w:pPr>
    </w:p>
    <w:sectPr w:rsidR="00CC599E" w:rsidRPr="00781AC8" w:rsidSect="00767436">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302" w:rsidRDefault="003F1302" w:rsidP="0038671E">
      <w:r>
        <w:separator/>
      </w:r>
    </w:p>
  </w:endnote>
  <w:endnote w:type="continuationSeparator" w:id="0">
    <w:p w:rsidR="003F1302" w:rsidRDefault="003F1302" w:rsidP="003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Bold">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BD" w:rsidRPr="00961A3D" w:rsidRDefault="00534DBD" w:rsidP="00961A3D">
    <w:pPr>
      <w:tabs>
        <w:tab w:val="center" w:pos="4680"/>
        <w:tab w:val="right" w:pos="9360"/>
      </w:tabs>
      <w:rPr>
        <w:rFonts w:ascii="Arial" w:hAnsi="Arial" w:cs="Arial"/>
        <w:sz w:val="16"/>
        <w:szCs w:val="16"/>
        <w:lang w:eastAsia="x-non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0D4" w:rsidRPr="00B829A3" w:rsidRDefault="00C320D4" w:rsidP="00C320D4">
    <w:pPr>
      <w:tabs>
        <w:tab w:val="center" w:pos="4680"/>
        <w:tab w:val="right" w:pos="9360"/>
      </w:tabs>
      <w:rPr>
        <w:rFonts w:ascii="Arial" w:hAnsi="Arial" w:cs="Arial"/>
        <w:sz w:val="16"/>
        <w:lang w:eastAsia="x-none"/>
      </w:rPr>
    </w:pPr>
    <w:r w:rsidRPr="00B829A3">
      <w:rPr>
        <w:rFonts w:ascii="Arial" w:hAnsi="Arial" w:cs="Arial"/>
        <w:sz w:val="16"/>
        <w:lang w:eastAsia="x-none"/>
      </w:rPr>
      <w:t>Registre du Commerce</w:t>
    </w:r>
    <w:r w:rsidRPr="00B829A3">
      <w:rPr>
        <w:rFonts w:ascii="Arial" w:hAnsi="Arial" w:cs="Arial"/>
        <w:sz w:val="16"/>
        <w:lang w:eastAsia="x-none"/>
      </w:rPr>
      <w:tab/>
    </w:r>
    <w:r w:rsidRPr="00B829A3">
      <w:rPr>
        <w:rFonts w:ascii="Arial" w:hAnsi="Arial" w:cs="Arial"/>
        <w:sz w:val="16"/>
        <w:lang w:eastAsia="x-none"/>
      </w:rPr>
      <w:tab/>
      <w:t xml:space="preserve">              </w:t>
    </w:r>
    <w:r>
      <w:rPr>
        <w:rFonts w:ascii="Arial" w:hAnsi="Arial" w:cs="Arial"/>
        <w:sz w:val="16"/>
        <w:lang w:eastAsia="x-none"/>
      </w:rPr>
      <w:t xml:space="preserve">             </w:t>
    </w:r>
    <w:r w:rsidRPr="00B829A3">
      <w:rPr>
        <w:rFonts w:ascii="Arial" w:hAnsi="Arial" w:cs="Arial"/>
        <w:sz w:val="16"/>
        <w:lang w:eastAsia="x-none"/>
      </w:rPr>
      <w:t>S.A. au Capital de 300 000 000 F CFA</w:t>
    </w:r>
  </w:p>
  <w:p w:rsidR="00C320D4" w:rsidRPr="00697C71" w:rsidRDefault="00C320D4" w:rsidP="00C320D4">
    <w:pPr>
      <w:tabs>
        <w:tab w:val="center" w:pos="4680"/>
        <w:tab w:val="right" w:pos="9360"/>
      </w:tabs>
      <w:rPr>
        <w:rFonts w:ascii="Arial" w:hAnsi="Arial" w:cs="Arial"/>
        <w:sz w:val="16"/>
        <w:szCs w:val="16"/>
        <w:lang w:val="x-none" w:eastAsia="x-none"/>
      </w:rPr>
    </w:pPr>
    <w:r w:rsidRPr="00B829A3">
      <w:rPr>
        <w:rFonts w:ascii="Arial" w:hAnsi="Arial" w:cs="Arial"/>
        <w:sz w:val="16"/>
        <w:lang w:eastAsia="x-none"/>
      </w:rPr>
      <w:t>N° 1985 B 1510</w:t>
    </w:r>
    <w:r w:rsidR="003B3BC5">
      <w:rPr>
        <w:rFonts w:ascii="Arial" w:hAnsi="Arial" w:cs="Arial"/>
        <w:sz w:val="16"/>
        <w:lang w:eastAsia="x-none"/>
      </w:rPr>
      <w:t xml:space="preserve"> - L</w:t>
    </w:r>
    <w:r>
      <w:rPr>
        <w:rFonts w:ascii="Arial" w:hAnsi="Arial" w:cs="Arial"/>
        <w:sz w:val="16"/>
        <w:lang w:eastAsia="x-none"/>
      </w:rPr>
      <w:t>omé</w:t>
    </w:r>
    <w:r w:rsidRPr="00B829A3">
      <w:rPr>
        <w:rFonts w:ascii="Arial" w:hAnsi="Arial" w:cs="Arial"/>
        <w:sz w:val="16"/>
        <w:lang w:eastAsia="x-none"/>
      </w:rPr>
      <w:tab/>
    </w:r>
    <w:r w:rsidRPr="00B829A3">
      <w:rPr>
        <w:rFonts w:ascii="Arial" w:hAnsi="Arial" w:cs="Arial"/>
        <w:sz w:val="16"/>
        <w:lang w:eastAsia="x-none"/>
      </w:rPr>
      <w:tab/>
      <w:t xml:space="preserve">                         </w:t>
    </w:r>
    <w:r>
      <w:rPr>
        <w:rFonts w:ascii="Arial" w:hAnsi="Arial" w:cs="Arial"/>
        <w:sz w:val="16"/>
        <w:lang w:eastAsia="x-none"/>
      </w:rPr>
      <w:t xml:space="preserve">           </w:t>
    </w:r>
    <w:r w:rsidRPr="00B829A3">
      <w:rPr>
        <w:rFonts w:ascii="Arial" w:hAnsi="Arial" w:cs="Arial"/>
        <w:sz w:val="16"/>
        <w:szCs w:val="16"/>
        <w:lang w:eastAsia="x-none"/>
      </w:rPr>
      <w:t xml:space="preserve">N° Identification fisc </w:t>
    </w:r>
    <w:r w:rsidRPr="00B829A3">
      <w:rPr>
        <w:rFonts w:ascii="Arial" w:hAnsi="Arial" w:cs="Arial"/>
        <w:sz w:val="16"/>
        <w:szCs w:val="16"/>
        <w:lang w:val="x-none" w:eastAsia="x-none"/>
      </w:rPr>
      <w:t>1000166356</w:t>
    </w:r>
  </w:p>
  <w:p w:rsidR="00534DBD" w:rsidRPr="00C320D4" w:rsidRDefault="00534DBD" w:rsidP="00C320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302" w:rsidRDefault="003F1302" w:rsidP="0038671E">
      <w:r>
        <w:separator/>
      </w:r>
    </w:p>
  </w:footnote>
  <w:footnote w:type="continuationSeparator" w:id="0">
    <w:p w:rsidR="003F1302" w:rsidRDefault="003F1302" w:rsidP="0038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0D4" w:rsidRPr="002C0A06" w:rsidRDefault="00C320D4" w:rsidP="00C320D4">
    <w:pPr>
      <w:pStyle w:val="Titre2"/>
      <w:jc w:val="right"/>
      <w:rPr>
        <w:rFonts w:ascii="Futura Bold" w:hAnsi="Futura Bold"/>
        <w:color w:val="365F91"/>
        <w:szCs w:val="36"/>
      </w:rPr>
    </w:pPr>
    <w:r w:rsidRPr="002C0A06">
      <w:rPr>
        <w:rFonts w:ascii="Futura Bold" w:hAnsi="Futura Bold"/>
        <w:color w:val="365F91"/>
        <w:szCs w:val="36"/>
      </w:rPr>
      <w:t>S T S L</w:t>
    </w:r>
  </w:p>
  <w:p w:rsidR="00C320D4" w:rsidRPr="009D62B2" w:rsidRDefault="00C320D4" w:rsidP="00C320D4">
    <w:pPr>
      <w:jc w:val="right"/>
      <w:rPr>
        <w:rFonts w:ascii="Arial" w:hAnsi="Arial" w:cs="Arial"/>
        <w:b/>
        <w:sz w:val="18"/>
        <w:szCs w:val="18"/>
        <w:lang w:eastAsia="x-none"/>
      </w:rPr>
    </w:pPr>
    <w:r w:rsidRPr="009D62B2">
      <w:rPr>
        <w:rFonts w:ascii="Arial" w:hAnsi="Arial" w:cs="Arial"/>
        <w:b/>
        <w:sz w:val="18"/>
        <w:szCs w:val="18"/>
        <w:lang w:eastAsia="x-none"/>
      </w:rPr>
      <w:t>Société Togolaise de Stockage de Lomé</w:t>
    </w:r>
  </w:p>
  <w:p w:rsidR="00C320D4" w:rsidRPr="009D62B2" w:rsidRDefault="00C320D4" w:rsidP="00C320D4">
    <w:pPr>
      <w:spacing w:line="120" w:lineRule="auto"/>
      <w:jc w:val="right"/>
      <w:rPr>
        <w:rFonts w:ascii="Arial" w:hAnsi="Arial" w:cs="Arial"/>
        <w:b/>
        <w:sz w:val="16"/>
      </w:rPr>
    </w:pPr>
  </w:p>
  <w:p w:rsidR="00C320D4" w:rsidRPr="009D62B2" w:rsidRDefault="00C320D4" w:rsidP="00C320D4">
    <w:pPr>
      <w:jc w:val="right"/>
      <w:rPr>
        <w:rFonts w:ascii="Arial" w:hAnsi="Arial" w:cs="Arial"/>
        <w:b/>
        <w:sz w:val="18"/>
      </w:rPr>
    </w:pPr>
    <w:r w:rsidRPr="009D62B2">
      <w:rPr>
        <w:rFonts w:ascii="Arial" w:hAnsi="Arial" w:cs="Arial"/>
        <w:b/>
        <w:sz w:val="18"/>
      </w:rPr>
      <w:t>Route d’Aného</w:t>
    </w:r>
  </w:p>
  <w:p w:rsidR="00C320D4" w:rsidRPr="009D62B2" w:rsidRDefault="00C320D4" w:rsidP="00C320D4">
    <w:pPr>
      <w:jc w:val="right"/>
      <w:rPr>
        <w:rFonts w:ascii="Arial" w:hAnsi="Arial" w:cs="Arial"/>
        <w:b/>
        <w:sz w:val="18"/>
      </w:rPr>
    </w:pPr>
    <w:r w:rsidRPr="009D62B2">
      <w:rPr>
        <w:rFonts w:ascii="Arial" w:hAnsi="Arial" w:cs="Arial"/>
        <w:b/>
        <w:sz w:val="18"/>
      </w:rPr>
      <w:t>(Zone Industrielle)</w:t>
    </w:r>
  </w:p>
  <w:p w:rsidR="00C320D4" w:rsidRPr="009D62B2" w:rsidRDefault="00C320D4" w:rsidP="00C320D4">
    <w:pPr>
      <w:jc w:val="right"/>
      <w:rPr>
        <w:rFonts w:ascii="Arial" w:hAnsi="Arial" w:cs="Arial"/>
        <w:b/>
        <w:sz w:val="18"/>
      </w:rPr>
    </w:pPr>
    <w:r w:rsidRPr="009D62B2">
      <w:rPr>
        <w:rFonts w:ascii="Arial" w:hAnsi="Arial" w:cs="Arial"/>
        <w:b/>
        <w:sz w:val="18"/>
      </w:rPr>
      <w:t>B.P. 3283</w:t>
    </w:r>
  </w:p>
  <w:p w:rsidR="00C320D4" w:rsidRPr="009D62B2" w:rsidRDefault="00C320D4" w:rsidP="00C320D4">
    <w:pPr>
      <w:jc w:val="right"/>
      <w:rPr>
        <w:rFonts w:ascii="Arial" w:hAnsi="Arial" w:cs="Arial"/>
        <w:b/>
        <w:sz w:val="18"/>
      </w:rPr>
    </w:pPr>
    <w:r w:rsidRPr="009D62B2">
      <w:rPr>
        <w:rFonts w:ascii="Arial" w:hAnsi="Arial" w:cs="Arial"/>
        <w:b/>
        <w:bCs/>
        <w:sz w:val="18"/>
      </w:rPr>
      <w:t>Tél.</w:t>
    </w:r>
    <w:r w:rsidRPr="009D62B2">
      <w:rPr>
        <w:rFonts w:ascii="Arial" w:hAnsi="Arial" w:cs="Arial"/>
        <w:b/>
        <w:sz w:val="18"/>
      </w:rPr>
      <w:t> : (228) 22 23 72 00</w:t>
    </w:r>
  </w:p>
  <w:p w:rsidR="00534DBD" w:rsidRPr="00C320D4" w:rsidRDefault="00C320D4" w:rsidP="00C320D4">
    <w:pPr>
      <w:pStyle w:val="En-tte"/>
      <w:rPr>
        <w:rFonts w:ascii="Arial" w:hAnsi="Arial" w:cs="Arial"/>
        <w:b/>
        <w:sz w:val="18"/>
      </w:rPr>
    </w:pPr>
    <w:r w:rsidRPr="009D62B2">
      <w:rPr>
        <w:rFonts w:ascii="Arial" w:hAnsi="Arial" w:cs="Arial"/>
        <w:b/>
        <w:bCs/>
        <w:sz w:val="18"/>
      </w:rPr>
      <w:t xml:space="preserve">                                                                                                               </w:t>
    </w:r>
    <w:r>
      <w:rPr>
        <w:rFonts w:ascii="Arial" w:hAnsi="Arial" w:cs="Arial"/>
        <w:b/>
        <w:bCs/>
        <w:sz w:val="18"/>
      </w:rPr>
      <w:t xml:space="preserve">                                </w:t>
    </w:r>
    <w:r w:rsidRPr="009D62B2">
      <w:rPr>
        <w:rFonts w:ascii="Arial" w:hAnsi="Arial" w:cs="Arial"/>
        <w:b/>
        <w:bCs/>
        <w:sz w:val="18"/>
      </w:rPr>
      <w:t xml:space="preserve"> Fax</w:t>
    </w:r>
    <w:r w:rsidRPr="009D62B2">
      <w:rPr>
        <w:rFonts w:ascii="Arial" w:hAnsi="Arial" w:cs="Arial"/>
        <w:b/>
        <w:sz w:val="18"/>
      </w:rPr>
      <w:t> : (228)</w:t>
    </w:r>
    <w:r>
      <w:rPr>
        <w:rFonts w:ascii="Arial" w:hAnsi="Arial" w:cs="Arial"/>
        <w:b/>
        <w:sz w:val="18"/>
      </w:rPr>
      <w:t xml:space="preserve"> 22 27 18 31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0435"/>
    <w:multiLevelType w:val="multilevel"/>
    <w:tmpl w:val="DB980BFA"/>
    <w:lvl w:ilvl="0">
      <w:start w:val="1"/>
      <w:numFmt w:val="decimal"/>
      <w:lvlText w:val="%1."/>
      <w:lvlJc w:val="left"/>
      <w:pPr>
        <w:tabs>
          <w:tab w:val="num" w:pos="720"/>
        </w:tabs>
        <w:ind w:left="720" w:hanging="720"/>
      </w:pPr>
      <w:rPr>
        <w:rFonts w:hint="default"/>
        <w:b w:val="0"/>
        <w:i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13320F0F"/>
    <w:multiLevelType w:val="hybridMultilevel"/>
    <w:tmpl w:val="364E9D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927469"/>
    <w:multiLevelType w:val="hybridMultilevel"/>
    <w:tmpl w:val="5D642074"/>
    <w:lvl w:ilvl="0" w:tplc="1B4EFDB2">
      <w:start w:val="1"/>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2D54BE"/>
    <w:multiLevelType w:val="hybridMultilevel"/>
    <w:tmpl w:val="5A782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DB29EA"/>
    <w:multiLevelType w:val="hybridMultilevel"/>
    <w:tmpl w:val="2342F1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ED1FA5"/>
    <w:multiLevelType w:val="hybridMultilevel"/>
    <w:tmpl w:val="2CD417A0"/>
    <w:lvl w:ilvl="0" w:tplc="A2F2B10C">
      <w:start w:val="1"/>
      <w:numFmt w:val="decimal"/>
      <w:lvlText w:val="%1."/>
      <w:lvlJc w:val="left"/>
      <w:pPr>
        <w:tabs>
          <w:tab w:val="num" w:pos="720"/>
        </w:tabs>
        <w:ind w:left="720" w:hanging="720"/>
      </w:pPr>
      <w:rPr>
        <w:rFonts w:hint="default"/>
        <w:b w:val="0"/>
        <w:i w:val="0"/>
      </w:rPr>
    </w:lvl>
    <w:lvl w:ilvl="1" w:tplc="9DF43E96">
      <w:numFmt w:val="none"/>
      <w:lvlText w:val=""/>
      <w:lvlJc w:val="left"/>
      <w:pPr>
        <w:tabs>
          <w:tab w:val="num" w:pos="360"/>
        </w:tabs>
      </w:pPr>
    </w:lvl>
    <w:lvl w:ilvl="2" w:tplc="56C41D88">
      <w:numFmt w:val="none"/>
      <w:lvlText w:val=""/>
      <w:lvlJc w:val="left"/>
      <w:pPr>
        <w:tabs>
          <w:tab w:val="num" w:pos="360"/>
        </w:tabs>
      </w:pPr>
    </w:lvl>
    <w:lvl w:ilvl="3" w:tplc="40AEAC6A">
      <w:numFmt w:val="none"/>
      <w:lvlText w:val=""/>
      <w:lvlJc w:val="left"/>
      <w:pPr>
        <w:tabs>
          <w:tab w:val="num" w:pos="360"/>
        </w:tabs>
      </w:pPr>
    </w:lvl>
    <w:lvl w:ilvl="4" w:tplc="E51E2B6A">
      <w:numFmt w:val="none"/>
      <w:lvlText w:val=""/>
      <w:lvlJc w:val="left"/>
      <w:pPr>
        <w:tabs>
          <w:tab w:val="num" w:pos="360"/>
        </w:tabs>
      </w:pPr>
    </w:lvl>
    <w:lvl w:ilvl="5" w:tplc="CE34415A">
      <w:numFmt w:val="none"/>
      <w:lvlText w:val=""/>
      <w:lvlJc w:val="left"/>
      <w:pPr>
        <w:tabs>
          <w:tab w:val="num" w:pos="360"/>
        </w:tabs>
      </w:pPr>
    </w:lvl>
    <w:lvl w:ilvl="6" w:tplc="943424CA">
      <w:numFmt w:val="none"/>
      <w:lvlText w:val=""/>
      <w:lvlJc w:val="left"/>
      <w:pPr>
        <w:tabs>
          <w:tab w:val="num" w:pos="360"/>
        </w:tabs>
      </w:pPr>
    </w:lvl>
    <w:lvl w:ilvl="7" w:tplc="C0CCD2EC">
      <w:numFmt w:val="none"/>
      <w:lvlText w:val=""/>
      <w:lvlJc w:val="left"/>
      <w:pPr>
        <w:tabs>
          <w:tab w:val="num" w:pos="360"/>
        </w:tabs>
      </w:pPr>
    </w:lvl>
    <w:lvl w:ilvl="8" w:tplc="39DE8DAC">
      <w:numFmt w:val="none"/>
      <w:lvlText w:val=""/>
      <w:lvlJc w:val="left"/>
      <w:pPr>
        <w:tabs>
          <w:tab w:val="num" w:pos="360"/>
        </w:tabs>
      </w:pPr>
    </w:lvl>
  </w:abstractNum>
  <w:abstractNum w:abstractNumId="6" w15:restartNumberingAfterBreak="0">
    <w:nsid w:val="3EBE3E91"/>
    <w:multiLevelType w:val="hybridMultilevel"/>
    <w:tmpl w:val="19DC7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5D1BB6"/>
    <w:multiLevelType w:val="hybridMultilevel"/>
    <w:tmpl w:val="CCA8EA5E"/>
    <w:lvl w:ilvl="0" w:tplc="A5A0951A">
      <w:start w:val="1"/>
      <w:numFmt w:val="decimal"/>
      <w:lvlText w:val="%1."/>
      <w:lvlJc w:val="left"/>
      <w:pPr>
        <w:ind w:left="360" w:hanging="360"/>
      </w:pPr>
      <w:rPr>
        <w:rFonts w:hint="default"/>
        <w:b w:val="0"/>
        <w:i w:val="0"/>
        <w:sz w:val="24"/>
      </w:rPr>
    </w:lvl>
    <w:lvl w:ilvl="1" w:tplc="040C0019">
      <w:start w:val="1"/>
      <w:numFmt w:val="lowerLetter"/>
      <w:lvlText w:val="%2."/>
      <w:lvlJc w:val="left"/>
      <w:pPr>
        <w:ind w:left="153" w:hanging="360"/>
      </w:pPr>
    </w:lvl>
    <w:lvl w:ilvl="2" w:tplc="040C001B">
      <w:start w:val="1"/>
      <w:numFmt w:val="lowerRoman"/>
      <w:lvlText w:val="%3."/>
      <w:lvlJc w:val="right"/>
      <w:pPr>
        <w:ind w:left="873" w:hanging="180"/>
      </w:pPr>
    </w:lvl>
    <w:lvl w:ilvl="3" w:tplc="040C000F" w:tentative="1">
      <w:start w:val="1"/>
      <w:numFmt w:val="decimal"/>
      <w:lvlText w:val="%4."/>
      <w:lvlJc w:val="left"/>
      <w:pPr>
        <w:ind w:left="1593" w:hanging="360"/>
      </w:pPr>
    </w:lvl>
    <w:lvl w:ilvl="4" w:tplc="040C0019" w:tentative="1">
      <w:start w:val="1"/>
      <w:numFmt w:val="lowerLetter"/>
      <w:lvlText w:val="%5."/>
      <w:lvlJc w:val="left"/>
      <w:pPr>
        <w:ind w:left="2313" w:hanging="360"/>
      </w:pPr>
    </w:lvl>
    <w:lvl w:ilvl="5" w:tplc="040C001B" w:tentative="1">
      <w:start w:val="1"/>
      <w:numFmt w:val="lowerRoman"/>
      <w:lvlText w:val="%6."/>
      <w:lvlJc w:val="right"/>
      <w:pPr>
        <w:ind w:left="3033" w:hanging="180"/>
      </w:pPr>
    </w:lvl>
    <w:lvl w:ilvl="6" w:tplc="040C000F" w:tentative="1">
      <w:start w:val="1"/>
      <w:numFmt w:val="decimal"/>
      <w:lvlText w:val="%7."/>
      <w:lvlJc w:val="left"/>
      <w:pPr>
        <w:ind w:left="3753" w:hanging="360"/>
      </w:pPr>
    </w:lvl>
    <w:lvl w:ilvl="7" w:tplc="040C0019" w:tentative="1">
      <w:start w:val="1"/>
      <w:numFmt w:val="lowerLetter"/>
      <w:lvlText w:val="%8."/>
      <w:lvlJc w:val="left"/>
      <w:pPr>
        <w:ind w:left="4473" w:hanging="360"/>
      </w:pPr>
    </w:lvl>
    <w:lvl w:ilvl="8" w:tplc="040C001B" w:tentative="1">
      <w:start w:val="1"/>
      <w:numFmt w:val="lowerRoman"/>
      <w:lvlText w:val="%9."/>
      <w:lvlJc w:val="right"/>
      <w:pPr>
        <w:ind w:left="5193" w:hanging="180"/>
      </w:pPr>
    </w:lvl>
  </w:abstractNum>
  <w:abstractNum w:abstractNumId="8" w15:restartNumberingAfterBreak="0">
    <w:nsid w:val="60171D62"/>
    <w:multiLevelType w:val="hybridMultilevel"/>
    <w:tmpl w:val="8A4E4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5F6BB9"/>
    <w:multiLevelType w:val="hybridMultilevel"/>
    <w:tmpl w:val="1E285226"/>
    <w:lvl w:ilvl="0" w:tplc="ED9E51C4">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7D02FC0"/>
    <w:multiLevelType w:val="hybridMultilevel"/>
    <w:tmpl w:val="8F9A68E6"/>
    <w:lvl w:ilvl="0" w:tplc="924E4A8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8"/>
  </w:num>
  <w:num w:numId="6">
    <w:abstractNumId w:val="10"/>
  </w:num>
  <w:num w:numId="7">
    <w:abstractNumId w:val="9"/>
  </w:num>
  <w:num w:numId="8">
    <w:abstractNumId w:val="6"/>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56"/>
    <w:rsid w:val="0000041E"/>
    <w:rsid w:val="00002758"/>
    <w:rsid w:val="00022A01"/>
    <w:rsid w:val="0003325E"/>
    <w:rsid w:val="00066E4C"/>
    <w:rsid w:val="00104CB2"/>
    <w:rsid w:val="00157640"/>
    <w:rsid w:val="001612A1"/>
    <w:rsid w:val="00194FC7"/>
    <w:rsid w:val="001D3D77"/>
    <w:rsid w:val="00230A6A"/>
    <w:rsid w:val="00232DFD"/>
    <w:rsid w:val="00246D01"/>
    <w:rsid w:val="0025046D"/>
    <w:rsid w:val="00272078"/>
    <w:rsid w:val="00293210"/>
    <w:rsid w:val="002B7AF3"/>
    <w:rsid w:val="002F4AA8"/>
    <w:rsid w:val="0038671E"/>
    <w:rsid w:val="003B3BC5"/>
    <w:rsid w:val="003F1302"/>
    <w:rsid w:val="00433AA0"/>
    <w:rsid w:val="00472E3E"/>
    <w:rsid w:val="004D7903"/>
    <w:rsid w:val="004F5081"/>
    <w:rsid w:val="00510D1E"/>
    <w:rsid w:val="00534DBD"/>
    <w:rsid w:val="005820A1"/>
    <w:rsid w:val="005C7E14"/>
    <w:rsid w:val="005F1767"/>
    <w:rsid w:val="006C5859"/>
    <w:rsid w:val="00710A4C"/>
    <w:rsid w:val="00731B7D"/>
    <w:rsid w:val="00733DB1"/>
    <w:rsid w:val="00744A56"/>
    <w:rsid w:val="00766121"/>
    <w:rsid w:val="00767436"/>
    <w:rsid w:val="00781AC8"/>
    <w:rsid w:val="007B677B"/>
    <w:rsid w:val="007D0FAC"/>
    <w:rsid w:val="007E557E"/>
    <w:rsid w:val="00807AA7"/>
    <w:rsid w:val="00832ADD"/>
    <w:rsid w:val="008376D8"/>
    <w:rsid w:val="0084099F"/>
    <w:rsid w:val="00883413"/>
    <w:rsid w:val="008C44C9"/>
    <w:rsid w:val="00961A3D"/>
    <w:rsid w:val="00A55A3F"/>
    <w:rsid w:val="00A72652"/>
    <w:rsid w:val="00AA6831"/>
    <w:rsid w:val="00AE58E7"/>
    <w:rsid w:val="00B44457"/>
    <w:rsid w:val="00B72DF0"/>
    <w:rsid w:val="00BD56D1"/>
    <w:rsid w:val="00BF050D"/>
    <w:rsid w:val="00BF6FD7"/>
    <w:rsid w:val="00C1190A"/>
    <w:rsid w:val="00C320D4"/>
    <w:rsid w:val="00CA4260"/>
    <w:rsid w:val="00CC599E"/>
    <w:rsid w:val="00D14378"/>
    <w:rsid w:val="00D74EBB"/>
    <w:rsid w:val="00D932B6"/>
    <w:rsid w:val="00DF455E"/>
    <w:rsid w:val="00E02E5C"/>
    <w:rsid w:val="00E24D0A"/>
    <w:rsid w:val="00E534E2"/>
    <w:rsid w:val="00EB7255"/>
    <w:rsid w:val="00ED570E"/>
    <w:rsid w:val="00F123B3"/>
    <w:rsid w:val="00F4292E"/>
    <w:rsid w:val="00F84488"/>
    <w:rsid w:val="00FE6C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CFDF"/>
  <w15:chartTrackingRefBased/>
  <w15:docId w15:val="{2DCFCD7D-6BA4-445B-8A66-84F1985A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A56"/>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3B3BC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qFormat/>
    <w:rsid w:val="0038671E"/>
    <w:pPr>
      <w:suppressAutoHyphens/>
      <w:jc w:val="center"/>
      <w:outlineLvl w:val="1"/>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44A56"/>
    <w:rPr>
      <w:color w:val="0000FF"/>
      <w:u w:val="single"/>
    </w:rPr>
  </w:style>
  <w:style w:type="paragraph" w:styleId="Paragraphedeliste">
    <w:name w:val="List Paragraph"/>
    <w:basedOn w:val="Normal"/>
    <w:uiPriority w:val="34"/>
    <w:qFormat/>
    <w:rsid w:val="00744A56"/>
    <w:pPr>
      <w:ind w:left="720"/>
      <w:contextualSpacing/>
    </w:pPr>
  </w:style>
  <w:style w:type="character" w:customStyle="1" w:styleId="policedefaut-black">
    <w:name w:val="police_defaut-black"/>
    <w:basedOn w:val="Policepardfaut"/>
    <w:rsid w:val="00744A56"/>
  </w:style>
  <w:style w:type="character" w:styleId="lev">
    <w:name w:val="Strong"/>
    <w:basedOn w:val="Policepardfaut"/>
    <w:uiPriority w:val="22"/>
    <w:qFormat/>
    <w:rsid w:val="00744A56"/>
    <w:rPr>
      <w:b/>
      <w:bCs/>
    </w:rPr>
  </w:style>
  <w:style w:type="paragraph" w:styleId="En-tte">
    <w:name w:val="header"/>
    <w:basedOn w:val="Normal"/>
    <w:link w:val="En-tteCar"/>
    <w:unhideWhenUsed/>
    <w:rsid w:val="0038671E"/>
    <w:pPr>
      <w:tabs>
        <w:tab w:val="center" w:pos="4536"/>
        <w:tab w:val="right" w:pos="9072"/>
      </w:tabs>
    </w:pPr>
  </w:style>
  <w:style w:type="character" w:customStyle="1" w:styleId="En-tteCar">
    <w:name w:val="En-tête Car"/>
    <w:basedOn w:val="Policepardfaut"/>
    <w:link w:val="En-tte"/>
    <w:rsid w:val="0038671E"/>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38671E"/>
    <w:pPr>
      <w:tabs>
        <w:tab w:val="center" w:pos="4536"/>
        <w:tab w:val="right" w:pos="9072"/>
      </w:tabs>
    </w:pPr>
  </w:style>
  <w:style w:type="character" w:customStyle="1" w:styleId="PieddepageCar">
    <w:name w:val="Pied de page Car"/>
    <w:basedOn w:val="Policepardfaut"/>
    <w:link w:val="Pieddepage"/>
    <w:uiPriority w:val="99"/>
    <w:rsid w:val="0038671E"/>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uiPriority w:val="9"/>
    <w:rsid w:val="0038671E"/>
    <w:rPr>
      <w:rFonts w:ascii="Times New Roman" w:eastAsia="Times New Roman" w:hAnsi="Times New Roman" w:cs="Times New Roman"/>
      <w:b/>
      <w:sz w:val="28"/>
      <w:szCs w:val="20"/>
      <w:lang w:eastAsia="fr-FR"/>
    </w:rPr>
  </w:style>
  <w:style w:type="paragraph" w:styleId="Textedebulles">
    <w:name w:val="Balloon Text"/>
    <w:basedOn w:val="Normal"/>
    <w:link w:val="TextedebullesCar"/>
    <w:uiPriority w:val="99"/>
    <w:semiHidden/>
    <w:unhideWhenUsed/>
    <w:rsid w:val="00FE6C6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E6C6D"/>
    <w:rPr>
      <w:rFonts w:ascii="Segoe UI" w:eastAsia="Times New Roman" w:hAnsi="Segoe UI" w:cs="Segoe UI"/>
      <w:sz w:val="18"/>
      <w:szCs w:val="18"/>
      <w:lang w:eastAsia="fr-FR"/>
    </w:rPr>
  </w:style>
  <w:style w:type="character" w:styleId="Appelnotedebasdep">
    <w:name w:val="footnote reference"/>
    <w:uiPriority w:val="99"/>
    <w:semiHidden/>
    <w:rsid w:val="00293210"/>
    <w:rPr>
      <w:vertAlign w:val="superscript"/>
    </w:rPr>
  </w:style>
  <w:style w:type="paragraph" w:styleId="Notedebasdepage">
    <w:name w:val="footnote text"/>
    <w:basedOn w:val="Normal"/>
    <w:link w:val="NotedebasdepageCar"/>
    <w:uiPriority w:val="99"/>
    <w:semiHidden/>
    <w:rsid w:val="00293210"/>
    <w:pPr>
      <w:suppressAutoHyphens/>
      <w:overflowPunct w:val="0"/>
      <w:autoSpaceDE w:val="0"/>
      <w:autoSpaceDN w:val="0"/>
      <w:adjustRightInd w:val="0"/>
      <w:textAlignment w:val="baseline"/>
    </w:pPr>
    <w:rPr>
      <w:rFonts w:cs="Arial"/>
      <w:sz w:val="20"/>
      <w:szCs w:val="24"/>
    </w:rPr>
  </w:style>
  <w:style w:type="character" w:customStyle="1" w:styleId="NotedebasdepageCar">
    <w:name w:val="Note de bas de page Car"/>
    <w:basedOn w:val="Policepardfaut"/>
    <w:link w:val="Notedebasdepage"/>
    <w:uiPriority w:val="99"/>
    <w:semiHidden/>
    <w:rsid w:val="00293210"/>
    <w:rPr>
      <w:rFonts w:ascii="Times New Roman" w:eastAsia="Times New Roman" w:hAnsi="Times New Roman" w:cs="Arial"/>
      <w:sz w:val="20"/>
      <w:szCs w:val="24"/>
      <w:lang w:eastAsia="fr-FR"/>
    </w:rPr>
  </w:style>
  <w:style w:type="paragraph" w:styleId="Titre">
    <w:name w:val="Title"/>
    <w:basedOn w:val="Normal"/>
    <w:link w:val="TitreCar"/>
    <w:qFormat/>
    <w:rsid w:val="00293210"/>
    <w:pPr>
      <w:overflowPunct w:val="0"/>
      <w:autoSpaceDE w:val="0"/>
      <w:autoSpaceDN w:val="0"/>
      <w:adjustRightInd w:val="0"/>
      <w:jc w:val="center"/>
      <w:textAlignment w:val="baseline"/>
    </w:pPr>
    <w:rPr>
      <w:rFonts w:cs="Arial"/>
      <w:b/>
      <w:sz w:val="48"/>
      <w:szCs w:val="24"/>
      <w:lang w:val="es-ES_tradnl"/>
    </w:rPr>
  </w:style>
  <w:style w:type="character" w:customStyle="1" w:styleId="TitreCar">
    <w:name w:val="Titre Car"/>
    <w:basedOn w:val="Policepardfaut"/>
    <w:link w:val="Titre"/>
    <w:rsid w:val="00293210"/>
    <w:rPr>
      <w:rFonts w:ascii="Times New Roman" w:eastAsia="Times New Roman" w:hAnsi="Times New Roman" w:cs="Arial"/>
      <w:b/>
      <w:sz w:val="48"/>
      <w:szCs w:val="24"/>
      <w:lang w:val="es-ES_tradnl" w:eastAsia="fr-FR"/>
    </w:rPr>
  </w:style>
  <w:style w:type="character" w:customStyle="1" w:styleId="Titre1Car">
    <w:name w:val="Titre 1 Car"/>
    <w:basedOn w:val="Policepardfaut"/>
    <w:link w:val="Titre1"/>
    <w:uiPriority w:val="9"/>
    <w:rsid w:val="003B3BC5"/>
    <w:rPr>
      <w:rFonts w:asciiTheme="majorHAnsi" w:eastAsiaTheme="majorEastAsia" w:hAnsiTheme="majorHAnsi" w:cstheme="majorBidi"/>
      <w:color w:val="2E74B5"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es.gouv.t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10FB1-1634-4125-8439-D0F254CB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455</Words>
  <Characters>2503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Blucktor, S. Dayi Teddy Sergio</dc:creator>
  <cp:keywords/>
  <dc:description/>
  <cp:lastModifiedBy>Blucktor, S. Dayi Teddy Sergio</cp:lastModifiedBy>
  <cp:revision>27</cp:revision>
  <cp:lastPrinted>2020-01-31T15:30:00Z</cp:lastPrinted>
  <dcterms:created xsi:type="dcterms:W3CDTF">2020-01-28T18:26:00Z</dcterms:created>
  <dcterms:modified xsi:type="dcterms:W3CDTF">2023-12-21T11:27:00Z</dcterms:modified>
</cp:coreProperties>
</file>